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4D33C0" w:rsidRDefault="0075731D" w:rsidP="004D33C0">
      <w:pPr>
        <w:overflowPunct w:val="0"/>
        <w:snapToGrid w:val="0"/>
        <w:spacing w:line="360" w:lineRule="auto"/>
        <w:jc w:val="center"/>
        <w:rPr>
          <w:rFonts w:ascii="Times New Roman" w:eastAsia="黑体" w:hAnsi="Times New Roman" w:cs="Times New Roman"/>
          <w:b/>
          <w:sz w:val="44"/>
        </w:rPr>
      </w:pPr>
      <w:r w:rsidRPr="004D33C0">
        <w:rPr>
          <w:rFonts w:ascii="Times New Roman" w:eastAsia="黑体" w:hAnsi="Times New Roman" w:cs="Times New Roman"/>
          <w:b/>
          <w:sz w:val="44"/>
        </w:rPr>
        <w:t>2025</w:t>
      </w:r>
      <w:r w:rsidRPr="004D33C0">
        <w:rPr>
          <w:rFonts w:ascii="Times New Roman" w:eastAsia="黑体" w:hAnsi="Times New Roman" w:cs="Times New Roman"/>
          <w:b/>
          <w:sz w:val="44"/>
        </w:rPr>
        <w:t>年</w:t>
      </w:r>
      <w:bookmarkStart w:id="0" w:name="_GoBack"/>
      <w:bookmarkEnd w:id="0"/>
      <w:r w:rsidRPr="004D33C0">
        <w:rPr>
          <w:rFonts w:ascii="Times New Roman" w:eastAsia="黑体" w:hAnsi="Times New Roman" w:cs="Times New Roman"/>
          <w:b/>
          <w:sz w:val="44"/>
        </w:rPr>
        <w:t>山东思想政治高考真题</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w:t>
      </w:r>
      <w:r w:rsidRPr="002A0AF6">
        <w:rPr>
          <w:rFonts w:ascii="Times New Roman" w:eastAsia="宋体" w:hAnsi="Times New Roman" w:cs="Times New Roman"/>
          <w:b/>
          <w:color w:val="000000" w:themeColor="text1"/>
          <w:sz w:val="24"/>
        </w:rPr>
        <w:t>本题共</w:t>
      </w: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小题，每小题</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分，共</w:t>
      </w:r>
      <w:r w:rsidRPr="002A0AF6">
        <w:rPr>
          <w:rFonts w:ascii="Times New Roman" w:eastAsia="宋体" w:hAnsi="Times New Roman" w:cs="Times New Roman"/>
          <w:b/>
          <w:color w:val="000000" w:themeColor="text1"/>
          <w:sz w:val="24"/>
        </w:rPr>
        <w:t>45</w:t>
      </w:r>
      <w:r w:rsidRPr="002A0AF6">
        <w:rPr>
          <w:rFonts w:ascii="Times New Roman" w:eastAsia="宋体" w:hAnsi="Times New Roman" w:cs="Times New Roman"/>
          <w:b/>
          <w:color w:val="000000" w:themeColor="text1"/>
          <w:sz w:val="24"/>
        </w:rPr>
        <w:t>分。每小题只有一个选项符合题目要求。</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．征程如歌，歌以咏史。《国际歌》唱响坚定信念，</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是谁创造了人类世界？是我们劳动群众</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团结起来到明天，英特纳雄耐尔就一定要实现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。《石库门的灯光》颂唱中国共产党给中国带来光明，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铁锤镰刀的旗帜，指引工农大众的心。燎原的</w:t>
      </w:r>
      <w:r w:rsidRPr="002A0AF6">
        <w:rPr>
          <w:rFonts w:ascii="Times New Roman" w:eastAsia="宋体" w:hAnsi="Times New Roman" w:cs="Times New Roman" w:hint="eastAsia"/>
          <w:b/>
          <w:color w:val="000000" w:themeColor="text1"/>
          <w:sz w:val="24"/>
        </w:rPr>
        <w:t>火种，闪烁共产主义真</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开天辟地</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民族复兴</w:t>
      </w:r>
      <w:r w:rsidRPr="002A0AF6">
        <w:rPr>
          <w:rFonts w:ascii="宋体" w:eastAsia="宋体" w:hAnsi="宋体" w:cs="Times New Roman" w:hint="eastAsia"/>
          <w:b/>
          <w:color w:val="000000" w:themeColor="text1"/>
          <w:sz w:val="24"/>
        </w:rPr>
        <w:t>……</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。从《国际歌》到《石库门的灯光》，生动诠释了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马克思主义政党始终代表无产阶级和广大人民群众的根本利益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建立无产阶级专政是无产阶级实现自身历史使命的最终目的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人民群众坚定的理想信念决定了资本主义必然灭亡的历史命运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中国特色社会主义道路是中华民族最终走向共产主义的必由之路</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0075731D"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0075731D" w:rsidRPr="002A0AF6">
        <w:rPr>
          <w:rFonts w:ascii="Times New Roman" w:eastAsia="宋体" w:hAnsi="Times New Roman" w:cs="Times New Roman"/>
          <w:b/>
          <w:color w:val="000000" w:themeColor="text1"/>
          <w:sz w:val="24"/>
        </w:rPr>
        <w:t>D</w:t>
      </w:r>
      <w:r w:rsidR="0075731D"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是谁创造了人类世界？是我们劳动群众</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说明</w:t>
      </w:r>
      <w:r w:rsidRPr="002A0AF6">
        <w:rPr>
          <w:rFonts w:ascii="Times New Roman" w:eastAsia="楷体" w:hAnsi="Times New Roman" w:cs="Times New Roman" w:hint="eastAsia"/>
          <w:b/>
          <w:color w:val="000000" w:themeColor="text1"/>
          <w:sz w:val="24"/>
        </w:rPr>
        <w:t>马克思主义政党始终代表无产阶级和广大人民群众的根本利益，</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中国共产党给中国带来光明</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共产主义真</w:t>
      </w:r>
      <w:r w:rsidRPr="002A0AF6">
        <w:rPr>
          <w:rFonts w:ascii="宋体" w:eastAsia="宋体" w:hAnsi="宋体" w:cs="Times New Roman" w:hint="eastAsia"/>
          <w:b/>
          <w:color w:val="000000" w:themeColor="text1"/>
          <w:sz w:val="24"/>
        </w:rPr>
        <w:t>……</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说明中国坚定走中国特色社会主义道路，并以实现共产主义为最高理想，</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正确。实现共产主义是无产阶级实现自身历史使命的最终目的，</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错误。资本主义社会的基本矛盾决定了资本主义必然灭亡的历史命运，人民群众坚定的理想信念可以推动社会变革，但不能决定社会发展的客观规律，</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．劳动创造幸福。下图是不同行业的劳动者对自己工作的描述。材料表明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\\25SDZZ1.TIF"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\\25SDZZ1.TIF"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8.65pt">
            <v:imagedata r:id="rId6" r:href="rId7"/>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掌握数字技术的劳动者是发展新质生产力的核心要素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数字技术的使用促</w:t>
      </w:r>
      <w:r w:rsidRPr="002A0AF6">
        <w:rPr>
          <w:rFonts w:ascii="Times New Roman" w:eastAsia="宋体" w:hAnsi="Times New Roman" w:cs="Times New Roman"/>
          <w:b/>
          <w:color w:val="000000" w:themeColor="text1"/>
          <w:sz w:val="24"/>
        </w:rPr>
        <w:lastRenderedPageBreak/>
        <w:t xml:space="preserve">进了数字经济与实体经济的融合发展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数字技术的应用推动了劳动方式的变化，也催生了新职业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数据要素在生产过程中创造价值，拓宽了劳动者收入渠道</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无人机助力航空货运、农业生产，数据分析助力矿产开发，都是数字经济与实体经济融合发展的表现，</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正确。根据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无人机＋航空货运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、种地离不开智慧农情监测系统、转岗做数据分析</w:t>
      </w:r>
      <w:r w:rsidRPr="002A0AF6">
        <w:rPr>
          <w:rFonts w:ascii="Times New Roman" w:eastAsia="楷体" w:hAnsi="Times New Roman" w:cs="Times New Roman" w:hint="eastAsia"/>
          <w:b/>
          <w:color w:val="000000" w:themeColor="text1"/>
          <w:sz w:val="24"/>
        </w:rPr>
        <w:t>工作等可知，数字技术的应用改变了许多领域的劳动方式，也催生了新职业，</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正确。科技创新是发展新质生产力的核心要素，</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不选。使用数字技术工作，只是改变了劳动方式，催生了新职业，由其获得的收入仍属于劳动性收入，并未拓宽劳动者收入渠道，</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．重大项目建设是促长远发展的战略之举。</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年春，山东省集中开工</w:t>
      </w:r>
      <w:r w:rsidRPr="002A0AF6">
        <w:rPr>
          <w:rFonts w:ascii="Times New Roman" w:eastAsia="宋体" w:hAnsi="Times New Roman" w:cs="Times New Roman"/>
          <w:b/>
          <w:color w:val="000000" w:themeColor="text1"/>
          <w:sz w:val="24"/>
        </w:rPr>
        <w:t>1 006</w:t>
      </w:r>
      <w:r w:rsidRPr="002A0AF6">
        <w:rPr>
          <w:rFonts w:ascii="Times New Roman" w:eastAsia="宋体" w:hAnsi="Times New Roman" w:cs="Times New Roman"/>
          <w:b/>
          <w:color w:val="000000" w:themeColor="text1"/>
          <w:sz w:val="24"/>
        </w:rPr>
        <w:t>个重大项目，下图为分类别的项目投资，下表为分主体的项目投资。</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\\25SDZZ2.TIF"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\\25SDZZ2.TIF"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 id="_x0000_i1026" type="#_x0000_t75" style="width:201.5pt;height:80.05pt">
            <v:imagedata r:id="rId8" r:href="rId9"/>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1099"/>
        <w:gridCol w:w="1098"/>
        <w:gridCol w:w="1340"/>
        <w:gridCol w:w="1098"/>
      </w:tblGrid>
      <w:tr w:rsidR="002A0AF6" w:rsidRPr="002A0AF6" w:rsidTr="002A0AF6">
        <w:trPr>
          <w:jc w:val="center"/>
        </w:trPr>
        <w:tc>
          <w:tcPr>
            <w:tcW w:w="0" w:type="auto"/>
            <w:vMerge w:val="restart"/>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投资</w:t>
            </w:r>
          </w:p>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主体</w:t>
            </w:r>
          </w:p>
        </w:tc>
        <w:tc>
          <w:tcPr>
            <w:tcW w:w="0" w:type="auto"/>
            <w:gridSpan w:val="2"/>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投资项目</w:t>
            </w:r>
          </w:p>
        </w:tc>
        <w:tc>
          <w:tcPr>
            <w:tcW w:w="0" w:type="auto"/>
            <w:gridSpan w:val="2"/>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投资金额</w:t>
            </w:r>
          </w:p>
        </w:tc>
      </w:tr>
      <w:tr w:rsidR="002A0AF6" w:rsidRPr="002A0AF6" w:rsidTr="002A0AF6">
        <w:trPr>
          <w:jc w:val="center"/>
        </w:trPr>
        <w:tc>
          <w:tcPr>
            <w:tcW w:w="0" w:type="auto"/>
            <w:vMerge/>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数量</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个</w:t>
            </w:r>
            <w:r w:rsidRPr="002A0AF6">
              <w:rPr>
                <w:rFonts w:ascii="Times New Roman" w:eastAsia="宋体" w:hAnsi="Times New Roman" w:cs="Times New Roman"/>
                <w:b/>
                <w:color w:val="000000" w:themeColor="text1"/>
                <w:sz w:val="24"/>
              </w:rPr>
              <w:t>)</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占比</w:t>
            </w:r>
            <w:r w:rsidRPr="002A0AF6">
              <w:rPr>
                <w:rFonts w:ascii="Times New Roman" w:eastAsia="宋体" w:hAnsi="Times New Roman" w:cs="Times New Roman"/>
                <w:b/>
                <w:color w:val="000000" w:themeColor="text1"/>
                <w:sz w:val="24"/>
              </w:rPr>
              <w:t>(%)</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数量</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亿元</w:t>
            </w:r>
            <w:r w:rsidRPr="002A0AF6">
              <w:rPr>
                <w:rFonts w:ascii="Times New Roman" w:eastAsia="宋体" w:hAnsi="Times New Roman" w:cs="Times New Roman"/>
                <w:b/>
                <w:color w:val="000000" w:themeColor="text1"/>
                <w:sz w:val="24"/>
              </w:rPr>
              <w:t>)</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占比</w:t>
            </w:r>
            <w:r w:rsidRPr="002A0AF6">
              <w:rPr>
                <w:rFonts w:ascii="Times New Roman" w:eastAsia="宋体" w:hAnsi="Times New Roman" w:cs="Times New Roman"/>
                <w:b/>
                <w:color w:val="000000" w:themeColor="text1"/>
                <w:sz w:val="24"/>
              </w:rPr>
              <w:t>(%)</w:t>
            </w:r>
          </w:p>
        </w:tc>
      </w:tr>
      <w:tr w:rsidR="002A0AF6" w:rsidRPr="002A0AF6" w:rsidTr="002A0AF6">
        <w:trPr>
          <w:jc w:val="center"/>
        </w:trPr>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民营</w:t>
            </w:r>
          </w:p>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企业</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635</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63.12</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5 541</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53.14</w:t>
            </w:r>
          </w:p>
        </w:tc>
      </w:tr>
      <w:tr w:rsidR="002A0AF6" w:rsidRPr="002A0AF6" w:rsidTr="002A0AF6">
        <w:trPr>
          <w:jc w:val="center"/>
        </w:trPr>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国有</w:t>
            </w:r>
          </w:p>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企业</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325</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32.31</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4 550</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43.63</w:t>
            </w:r>
          </w:p>
        </w:tc>
      </w:tr>
      <w:tr w:rsidR="002A0AF6" w:rsidRPr="002A0AF6" w:rsidTr="002A0AF6">
        <w:trPr>
          <w:jc w:val="center"/>
        </w:trPr>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政府</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32</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3.18</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254</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2.44</w:t>
            </w:r>
          </w:p>
        </w:tc>
      </w:tr>
      <w:tr w:rsidR="002A0AF6" w:rsidRPr="002A0AF6" w:rsidTr="002A0AF6">
        <w:trPr>
          <w:jc w:val="center"/>
        </w:trPr>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外资</w:t>
            </w:r>
          </w:p>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企业</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1.39</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82</w:t>
            </w:r>
          </w:p>
        </w:tc>
        <w:tc>
          <w:tcPr>
            <w:tcW w:w="0" w:type="auto"/>
            <w:shd w:val="clear" w:color="auto" w:fill="auto"/>
            <w:vAlign w:val="center"/>
          </w:tcPr>
          <w:p w:rsidR="002A0AF6" w:rsidRPr="002A0AF6" w:rsidRDefault="002A0AF6" w:rsidP="004D33C0">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0.79</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上述重大</w:t>
      </w:r>
      <w:r w:rsidRPr="002A0AF6">
        <w:rPr>
          <w:rFonts w:ascii="Times New Roman" w:eastAsia="宋体" w:hAnsi="Times New Roman" w:cs="Times New Roman" w:hint="eastAsia"/>
          <w:b/>
          <w:color w:val="000000" w:themeColor="text1"/>
          <w:sz w:val="24"/>
        </w:rPr>
        <w:t>项目开工建设，可以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优化投资结构，培育经济增长新动能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稳定民营企业政策预期，激发民间投资活力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促进社会民生事业发展，实现公共服务均等化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规范社会资本投资行为，降低各类主体经营风险</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重点产业项目集中在新兴产业领域，有利于优化投资结构，培育经济增长新动能，</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符合题意。产业项目集中在新兴产业领域，开工建设后可以使民营企业清晰了解政府鼓励的发展方向，稳定民营企业政策预</w:t>
      </w:r>
      <w:r w:rsidRPr="002A0AF6">
        <w:rPr>
          <w:rFonts w:ascii="Times New Roman" w:eastAsia="楷体" w:hAnsi="Times New Roman" w:cs="Times New Roman" w:hint="eastAsia"/>
          <w:b/>
          <w:color w:val="000000" w:themeColor="text1"/>
          <w:sz w:val="24"/>
        </w:rPr>
        <w:t>期；占比过半的投资金额都来自民营企业，有利于激发民间投资活力，</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符合题意。材料仅涉及社会民生保障项目的个数及投资金额，无法推出重大项目开工建设与实现公共服务均等化的关系，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不符合题意。规范社会资本投资行为需要完善市场监管及相关法律法规，降低各类主体经营风险主要依靠主体制定正确的经营战略，重大项目开工建设与此无必然关系，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．近年来，山东省扎实做好民生保障工作。</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25"/>
      </w:tblGrid>
      <w:tr w:rsidR="002A0AF6" w:rsidRPr="002A0AF6" w:rsidTr="0075731D">
        <w:trPr>
          <w:jc w:val="center"/>
        </w:trPr>
        <w:tc>
          <w:tcPr>
            <w:tcW w:w="7325" w:type="dxa"/>
            <w:shd w:val="clear" w:color="auto" w:fill="auto"/>
            <w:vAlign w:val="center"/>
          </w:tcPr>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Segoe UI Symbol" w:eastAsia="宋体" w:hAnsi="Segoe UI Symbol" w:cs="Segoe UI Symbol"/>
                <w:b/>
                <w:color w:val="000000" w:themeColor="text1"/>
                <w:sz w:val="24"/>
              </w:rPr>
              <w:t>☞</w:t>
            </w:r>
            <w:r w:rsidRPr="002A0AF6">
              <w:rPr>
                <w:rFonts w:ascii="Times New Roman" w:eastAsia="宋体" w:hAnsi="Times New Roman" w:cs="Times New Roman"/>
                <w:b/>
                <w:color w:val="000000" w:themeColor="text1"/>
                <w:sz w:val="24"/>
              </w:rPr>
              <w:t>建成全国首个省级社</w:t>
            </w:r>
            <w:r w:rsidRPr="002A0AF6">
              <w:rPr>
                <w:rFonts w:ascii="Times New Roman" w:eastAsia="宋体" w:hAnsi="Times New Roman" w:cs="Times New Roman" w:hint="eastAsia"/>
                <w:b/>
                <w:color w:val="000000" w:themeColor="text1"/>
                <w:sz w:val="24"/>
              </w:rPr>
              <w:t>会救助数据资源中枢，强化主动发现和跟踪问效能力；大力开展服务类社会救助，成功打造</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小桔灯</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困难群众心理救助等全国知名的服务品牌。</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Segoe UI Symbol" w:eastAsia="宋体" w:hAnsi="Segoe UI Symbol" w:cs="Segoe UI Symbol"/>
                <w:b/>
                <w:color w:val="000000" w:themeColor="text1"/>
                <w:sz w:val="24"/>
              </w:rPr>
              <w:t>☞</w:t>
            </w:r>
            <w:r w:rsidRPr="002A0AF6">
              <w:rPr>
                <w:rFonts w:ascii="Times New Roman" w:eastAsia="宋体" w:hAnsi="Times New Roman" w:cs="Times New Roman"/>
                <w:b/>
                <w:color w:val="000000" w:themeColor="text1"/>
                <w:sz w:val="24"/>
              </w:rPr>
              <w:t>推行医保和商业保险</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一站式</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平台，自动识别并计算基本医保和商业保险的支付金额，实现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医保＋商保＋自付</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同步完成。</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据材料，下列推导正确的是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提升救助智能化水平</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提高社会救助质效</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兜好困难群众基本生活底线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打造服务救助品牌</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提供高层次社会保障</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增强救助对象自我发展能力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医保和商业保险有效衔接</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提升资金结算效率</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减轻人民群众就医负</w:t>
      </w:r>
      <w:r w:rsidRPr="002A0AF6">
        <w:rPr>
          <w:rFonts w:ascii="Times New Roman" w:eastAsia="宋体" w:hAnsi="Times New Roman" w:cs="Times New Roman" w:hint="eastAsia"/>
          <w:b/>
          <w:color w:val="000000" w:themeColor="text1"/>
          <w:sz w:val="24"/>
        </w:rPr>
        <w:t xml:space="preserve">担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加大救助投入</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增加困难群众转移性收入</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健全分层分类社会救助体系</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建成全国首个省级社会救助数据资源中枢，强化主动发现和跟踪问效能力</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，体现了提升救助智能化水平，此举可以更精准地发现救助对象，提高救助的质量和效率，从而兜好困难群众基本生活底线，</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传导正确。推行医保和商业保险</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一站式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平台，自动识别并计算基本医保和商业保险的支付金额，实现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医保＋商保＋自付</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同步完成，体现了医保和商</w:t>
      </w:r>
      <w:r w:rsidRPr="002A0AF6">
        <w:rPr>
          <w:rFonts w:ascii="Times New Roman" w:eastAsia="楷体" w:hAnsi="Times New Roman" w:cs="Times New Roman" w:hint="eastAsia"/>
          <w:b/>
          <w:color w:val="000000" w:themeColor="text1"/>
          <w:sz w:val="24"/>
        </w:rPr>
        <w:t>业保险的有效衔接，可以避免多次结算的繁琐流程，提升了资金结算效率，同时医保和商业保险的共同作用可以减轻人民群众的就医负担，</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传导正确。社会救助保障困难群众的最低生活水平，是保障社会成员生活安全和生存权利的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最后一道防线</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，不是高层次的社会保障，也不一定能增强救助对象的自我发展能力，</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传导错误。材料强调提升救助智能化水平、打造服务救助品牌，没有强调加大救助投入、增加困难群众转移性收入，</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．为解决</w:t>
      </w:r>
      <w:r w:rsidRPr="002A0AF6">
        <w:rPr>
          <w:rFonts w:ascii="Times New Roman" w:eastAsia="宋体" w:hAnsi="Times New Roman" w:cs="Times New Roman"/>
          <w:b/>
          <w:color w:val="000000" w:themeColor="text1"/>
          <w:sz w:val="24"/>
        </w:rPr>
        <w:t>M</w:t>
      </w:r>
      <w:r w:rsidRPr="002A0AF6">
        <w:rPr>
          <w:rFonts w:ascii="Times New Roman" w:eastAsia="宋体" w:hAnsi="Times New Roman" w:cs="Times New Roman"/>
          <w:b/>
          <w:color w:val="000000" w:themeColor="text1"/>
          <w:sz w:val="24"/>
        </w:rPr>
        <w:t>市光伏企业超长租赁合同的履行难题，市人民法院联合市人大、市政协、市发改委开展调研，多次走访相</w:t>
      </w:r>
      <w:r w:rsidRPr="002A0AF6">
        <w:rPr>
          <w:rFonts w:ascii="Times New Roman" w:eastAsia="宋体" w:hAnsi="Times New Roman" w:cs="Times New Roman" w:hint="eastAsia"/>
          <w:b/>
          <w:color w:val="000000" w:themeColor="text1"/>
          <w:sz w:val="24"/>
        </w:rPr>
        <w:t>关企业，共同商讨解决方案。在吸纳人大代表和政协委员的相关意见后，市人民法院向市发改委发出《关于推动光伏产业可持续发展的司法建议书》，市发改委专门召开</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建议答复会</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，采取有效措施加以落实。材料表明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市发改委在市人大、市政协等国家机关监督下优化营商环境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市人民法院通过制发司法建议，以法治</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善为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助企纾困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代表委员依照法定程序，对政府工作提出质问并要求答复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多主体同向发力践行协商民主，推动光伏产业可持续发展</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市人民法院为解决光伏企业超长租赁合同的履行难题，向市发改委发出《关于推动光伏产业可持续发展的司法建议书》，体现了市人民法院通过制发司法建议，以法治</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善为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助企纾困，</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正确。市人民法院联合市人大、市政协、市发改委开展调研，多次走访相关企业，共同商讨解决方案，这表明多主体同向发力践行协商民主，推动光伏产业可持续发展，</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正确。人民政协是中国人民爱国统一战线的组织，是中国共产党领导的多党合作和政治协商的重要机构，是发扬社会主义民主的重要形式，不是国家机关，</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排除。人大代</w:t>
      </w:r>
      <w:r w:rsidRPr="002A0AF6">
        <w:rPr>
          <w:rFonts w:ascii="Times New Roman" w:eastAsia="楷体" w:hAnsi="Times New Roman" w:cs="Times New Roman" w:hint="eastAsia"/>
          <w:b/>
          <w:color w:val="000000" w:themeColor="text1"/>
          <w:sz w:val="24"/>
        </w:rPr>
        <w:t>表有质询权，政协委员没有质询权，</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．近年来，</w:t>
      </w:r>
      <w:r w:rsidRPr="002A0AF6">
        <w:rPr>
          <w:rFonts w:ascii="Times New Roman" w:eastAsia="宋体" w:hAnsi="Times New Roman" w:cs="Times New Roman"/>
          <w:b/>
          <w:color w:val="000000" w:themeColor="text1"/>
          <w:sz w:val="24"/>
        </w:rPr>
        <w:t>J</w:t>
      </w:r>
      <w:r w:rsidRPr="002A0AF6">
        <w:rPr>
          <w:rFonts w:ascii="Times New Roman" w:eastAsia="宋体" w:hAnsi="Times New Roman" w:cs="Times New Roman"/>
          <w:b/>
          <w:color w:val="000000" w:themeColor="text1"/>
          <w:sz w:val="24"/>
        </w:rPr>
        <w:t>镇开展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乡村新社区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建设，将全镇</w:t>
      </w: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个村庄整合成</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个新社区，成立新社区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大党委</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，建立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镇＋新社区＋村</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三级协商议事机制，最大程度整合资源，推动乡村振兴</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大民生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。其中，</w:t>
      </w:r>
      <w:r w:rsidRPr="002A0AF6">
        <w:rPr>
          <w:rFonts w:ascii="Times New Roman" w:eastAsia="宋体" w:hAnsi="Times New Roman" w:cs="Times New Roman"/>
          <w:b/>
          <w:color w:val="000000" w:themeColor="text1"/>
          <w:sz w:val="24"/>
        </w:rPr>
        <w:t>X</w:t>
      </w:r>
      <w:r w:rsidRPr="002A0AF6">
        <w:rPr>
          <w:rFonts w:ascii="Times New Roman" w:eastAsia="宋体" w:hAnsi="Times New Roman" w:cs="Times New Roman"/>
          <w:b/>
          <w:color w:val="000000" w:themeColor="text1"/>
          <w:sz w:val="24"/>
        </w:rPr>
        <w:t>新社区多次召开协商议事会，探索出特色农文旅融合发展之路，实现了村集体与村民双增收。材料表明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大党委</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的设置有利于加强基层党组织对乡村振兴工作的管理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新社区的成立有利于扩大基层政权行使行政管理职权的范围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三级协商议事机制丰富了村民参与社区事务的基层民</w:t>
      </w:r>
      <w:r w:rsidRPr="002A0AF6">
        <w:rPr>
          <w:rFonts w:ascii="Times New Roman" w:eastAsia="宋体" w:hAnsi="Times New Roman" w:cs="Times New Roman" w:hint="eastAsia"/>
          <w:b/>
          <w:color w:val="000000" w:themeColor="text1"/>
          <w:sz w:val="24"/>
        </w:rPr>
        <w:t>主实践</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乡村新社区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的建设有利于完善共建共治共享的乡村治理体系</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基层党组织领导乡村振兴工作，发挥战斗堡垒作用，而不是管理，</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错误。在我国，基层政权包括乡、民族乡、镇的人民代表大会和人民政府以及市</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不设区的市</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、市辖区的人民代表大会和人民政府。新社区并非基层政权，其成立与扩大基层政权行使行政管理职权的范围无必然关系，</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错误。三级协商议事机制的建立，为村民提供了更多参与社区事务的途径</w:t>
      </w:r>
      <w:r w:rsidRPr="002A0AF6">
        <w:rPr>
          <w:rFonts w:ascii="Times New Roman" w:eastAsia="楷体" w:hAnsi="Times New Roman" w:cs="Times New Roman" w:hint="eastAsia"/>
          <w:b/>
          <w:color w:val="000000" w:themeColor="text1"/>
          <w:sz w:val="24"/>
        </w:rPr>
        <w:t>和平台，丰富了村民参与社区事务的基层民主实践，</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正确。整合全镇村庄，成立</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大党委</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，建立三级协商议事机制，这一模式让各方力量共同参与到乡村治理中来，有利于完善共建共治共享的乡村治理体系，推动乡村振兴，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．大漆又称中国漆，由漆树树液加工提炼而成，可塑性强且具有防水抗蚀的特性。匠人们洞悉大漆之性情、驾驭温湿度之微妙，在木、竹等各种材质的胎体上进行髹涂、雕漆、推光</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历经多道工序，在器物表面渗透、固化后的大漆形成一层坚韧的保护膜且愈磨愈亮，使漆器演绎出东方美学的独特韵味。由此可见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hint="eastAsia"/>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人们根据大漆防水抗蚀的特性建立新的联系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对大漆本质的认识在漆器制作中不断被验证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大漆价值的实现取决于其自身的属性与功能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漆器的功能、状态及其变化影响大漆的功能</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匠人们洞悉大漆之性情、驾驭温湿度之微妙</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匠人们认识到了大漆的特性</w:t>
      </w:r>
      <w:r w:rsidRPr="002A0AF6">
        <w:rPr>
          <w:rFonts w:ascii="Times New Roman" w:eastAsia="楷体" w:hAnsi="Times New Roman" w:cs="Times New Roman"/>
          <w:b/>
          <w:color w:val="000000" w:themeColor="text1"/>
          <w:sz w:val="24"/>
        </w:rPr>
        <w:t>)</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使漆器演绎出东方美学的独特韵味，由此可见人们根据大漆防水抗蚀的特性建立新的联系，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正确。历经多道工序</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使漆器演绎出东方美学的独特韵味，这体现</w:t>
      </w:r>
      <w:r w:rsidRPr="002A0AF6">
        <w:rPr>
          <w:rFonts w:ascii="Times New Roman" w:eastAsia="楷体" w:hAnsi="Times New Roman" w:cs="Times New Roman" w:hint="eastAsia"/>
          <w:b/>
          <w:color w:val="000000" w:themeColor="text1"/>
          <w:sz w:val="24"/>
        </w:rPr>
        <w:t>出人们对大漆本质的认识在漆器制作中不断被验证，</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正确。大漆价值的实现与否取决于其自身的属性与功能是否满足人的需要，</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错误。材料主旨是利用大漆的特性来制作漆器，应是大漆的功能、状态及其变化影响漆器的功能，</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．生活的变迁是中西部对外开放最直观的见证。重庆火锅店里，东南亚的新鲜食材随西部陆海新通道冷链运输而来；新疆市集上，通过免签入境的外国游客越来越多</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宏观数据印证着微观感受。</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年前三季度，全国有</w:t>
      </w: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个省份外贸增速超</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，中西部占多数，新疆增速最快。材料表明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在实</w:t>
      </w:r>
      <w:r w:rsidRPr="002A0AF6">
        <w:rPr>
          <w:rFonts w:ascii="Times New Roman" w:eastAsia="宋体" w:hAnsi="Times New Roman" w:cs="Times New Roman" w:hint="eastAsia"/>
          <w:b/>
          <w:color w:val="000000" w:themeColor="text1"/>
          <w:sz w:val="24"/>
        </w:rPr>
        <w:t xml:space="preserve">践中形成的思维具体能反映事物整体的本质　</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 xml:space="preserve">人们能在改造世界的物质性活动中推动事物前进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人们在生产中形成的生产方式决定着社会性质与面貌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事物总是在个性中包含着共性，共性又寓于个性之中</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西部陆海新通道建设、免签入境等物质性活动，推动了外贸增长，体现了实践对事物发展的推动作用，</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符合题意。重庆、新疆生活的变迁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个性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包含着中西部对外开放的共同特点</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共性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，同时中西部的对外开放</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共性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又</w:t>
      </w:r>
      <w:r w:rsidRPr="002A0AF6">
        <w:rPr>
          <w:rFonts w:ascii="Times New Roman" w:eastAsia="楷体" w:hAnsi="Times New Roman" w:cs="Times New Roman" w:hint="eastAsia"/>
          <w:b/>
          <w:color w:val="000000" w:themeColor="text1"/>
          <w:sz w:val="24"/>
        </w:rPr>
        <w:t>通过重庆、新疆各地的变迁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个性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展现出来，体现了事物总是在个性中包含着共性，共性又寓于个性之中，</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符合题意。材料中重庆火锅店里的东南亚新鲜食材，新疆市集上的外国游客等都是微观感受，属于对事物表面现象的感性认识</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感性具体</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，不是思维具体，</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不选。材料强调对外开放水平的提高促进外贸增长和生活变迁，未涉及生产方式对社会性质与面貌的决定作用，</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．毛泽东同志指出，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冲天干劲是热。科学分析是冷。</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不愿意做分析，只爱热</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这种态度是不利于做领导工作的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。习近平总书记指出，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现实中，有的干</w:t>
      </w:r>
      <w:r w:rsidRPr="002A0AF6">
        <w:rPr>
          <w:rFonts w:ascii="Times New Roman" w:eastAsia="宋体" w:hAnsi="Times New Roman" w:cs="Times New Roman" w:hint="eastAsia"/>
          <w:b/>
          <w:color w:val="000000" w:themeColor="text1"/>
          <w:sz w:val="24"/>
        </w:rPr>
        <w:t>部干事热情很高，但缺乏科学精神、求实态度，结果不仅没有出业绩，反而带来了一堆问题</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。材料启示我们，做事情要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弘扬科学精神，坚持理论与实践的具体的历史的统一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坚持问题导向，从科学的理念出发破解发展的难题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注重分析对综合的先导作用，用分析的结果指导新的实践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充分发挥主观能动性，正确认识和利用客观规律去改造世界</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由材料可知，毛泽东同志和习近平总书记均强调做工作和干事</w:t>
      </w:r>
      <w:r w:rsidRPr="002A0AF6">
        <w:rPr>
          <w:rFonts w:ascii="Times New Roman" w:eastAsia="楷体" w:hAnsi="Times New Roman" w:cs="Times New Roman" w:hint="eastAsia"/>
          <w:b/>
          <w:color w:val="000000" w:themeColor="text1"/>
          <w:sz w:val="24"/>
        </w:rPr>
        <w:t>情时，必须将高度的热情</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冲天干劲</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干事热情</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与冷静的科学分析</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冷</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科学精神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结合起来，反对只重热情而忽视科学分析，即需要坚持理论</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科学</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与实践的具体的历史的统一，</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冲天干劲</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干事热情</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是充分发挥主观能动性的体现，重视科学分析意味着要尊重客观规律，</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正确。想问题、办事情必须坚持一切从实际出发，而不是从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科学的理念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出发，</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错误。综合是分析的先导，应注重综合对分析的先导作用，而非分析对综合的先导作用，且应用综合的结果指导人们进行新的分析，</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hint="eastAsia"/>
          <w:b/>
          <w:color w:val="000000" w:themeColor="text1"/>
          <w:sz w:val="24"/>
        </w:rPr>
        <w:t>月，由亚投行、南部非洲开发银行和法国开发署共同主办的第五届</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共同金融</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峰会在南非举行，来自联合国、政府机构、多边开发银行等约</w:t>
      </w:r>
      <w:r w:rsidRPr="002A0AF6">
        <w:rPr>
          <w:rFonts w:ascii="Times New Roman" w:eastAsia="宋体" w:hAnsi="Times New Roman" w:cs="Times New Roman"/>
          <w:b/>
          <w:color w:val="000000" w:themeColor="text1"/>
          <w:sz w:val="24"/>
        </w:rPr>
        <w:t>2 500</w:t>
      </w:r>
      <w:r w:rsidRPr="002A0AF6">
        <w:rPr>
          <w:rFonts w:ascii="Times New Roman" w:eastAsia="宋体" w:hAnsi="Times New Roman" w:cs="Times New Roman"/>
          <w:b/>
          <w:color w:val="000000" w:themeColor="text1"/>
          <w:sz w:val="24"/>
        </w:rPr>
        <w:t>名与会代表围绕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加强基础设施和金融体系建设，促进公正和可持续增长</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主题进行了探讨。峰会期间，亚投行发布了</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年融资报告，并呼吁多边开发银行加大对非洲基础设施投资。材料表明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联合国作为集体安全机制的核心，在全球治理中发挥着引领作用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亚投行通过与其他多边开发银行合作，助力发展中国家自主发展　</w:t>
      </w:r>
      <w:r w:rsidRPr="002A0AF6">
        <w:rPr>
          <w:rFonts w:ascii="宋体" w:eastAsia="宋体" w:hAnsi="宋体" w:cs="Times New Roman"/>
          <w:b/>
          <w:color w:val="000000" w:themeColor="text1"/>
          <w:sz w:val="24"/>
        </w:rPr>
        <w:t>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共同金融</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峰会为新兴经济体参与国际金融治理提供了重要平台</w:t>
      </w:r>
      <w:r w:rsidRPr="002A0AF6">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与会各方积极履行国际义务，为完善全球金融体系提供可行性方案</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共同金融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峰会由亚投行、南部非洲开发银行和法国开发署共同主办，共同探讨加强基础设施和金融体系建设等，峰会期间，亚投行发布融资报告并呼吁多边开发银行加大对非洲基础设施投资，这表明亚投行通过与其他多边开发银行合作，助力发展中国家自主发展，也表明该峰会为新兴经济体参与国际金融治理提供了重要平台，</w:t>
      </w:r>
      <w:r w:rsidRPr="002A0AF6">
        <w:rPr>
          <w:rFonts w:ascii="宋体" w:eastAsia="楷体" w:hAnsi="宋体" w:cs="Times New Roman"/>
          <w:b/>
          <w:color w:val="000000" w:themeColor="text1"/>
          <w:sz w:val="24"/>
        </w:rPr>
        <w:t>②③</w:t>
      </w:r>
      <w:r w:rsidRPr="002A0AF6">
        <w:rPr>
          <w:rFonts w:ascii="Times New Roman" w:eastAsia="楷体" w:hAnsi="Times New Roman" w:cs="Times New Roman"/>
          <w:b/>
          <w:color w:val="000000" w:themeColor="text1"/>
          <w:sz w:val="24"/>
        </w:rPr>
        <w:t>正确。材料主要反映了亚投行</w:t>
      </w:r>
      <w:r w:rsidRPr="002A0AF6">
        <w:rPr>
          <w:rFonts w:ascii="Times New Roman" w:eastAsia="楷体" w:hAnsi="Times New Roman" w:cs="Times New Roman" w:hint="eastAsia"/>
          <w:b/>
          <w:color w:val="000000" w:themeColor="text1"/>
          <w:sz w:val="24"/>
        </w:rPr>
        <w:t>、南部非洲开发银行、法国开发署共同主办第五届</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共同金融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峰会，来自联合国的代表也参与其中，但没有强调联合国的引领作用，</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排除。材料指出与会代表围绕相关主题进行了探讨，亚投行呼吁多边开发银行加大对非洲基础设施投资，但这并不能表明与会各方积极履行国际义务，也没有体现各方为完善全球金融体系提供可行性方案，</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．某学习小组围绕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中国与东盟关系</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开展探究活动，搜集到以下资料：</w:t>
      </w:r>
    </w:p>
    <w:tbl>
      <w:tblPr>
        <w:tblW w:w="7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03"/>
      </w:tblGrid>
      <w:tr w:rsidR="002A0AF6" w:rsidRPr="002A0AF6" w:rsidTr="0075731D">
        <w:trPr>
          <w:jc w:val="center"/>
        </w:trPr>
        <w:tc>
          <w:tcPr>
            <w:tcW w:w="7503" w:type="dxa"/>
            <w:shd w:val="clear" w:color="auto" w:fill="auto"/>
            <w:vAlign w:val="center"/>
          </w:tcPr>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Segoe UI Symbol" w:eastAsia="楷体" w:hAnsi="Segoe UI Symbol" w:cs="Segoe UI Symbol"/>
                <w:b/>
                <w:color w:val="000000" w:themeColor="text1"/>
                <w:sz w:val="24"/>
              </w:rPr>
              <w:t>☞</w:t>
            </w:r>
            <w:r w:rsidRPr="002A0AF6">
              <w:rPr>
                <w:rFonts w:ascii="Times New Roman" w:eastAsia="楷体" w:hAnsi="Times New Roman" w:cs="Times New Roman"/>
                <w:b/>
                <w:color w:val="000000" w:themeColor="text1"/>
                <w:sz w:val="24"/>
              </w:rPr>
              <w:t>1955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4</w:t>
            </w:r>
            <w:r w:rsidRPr="002A0AF6">
              <w:rPr>
                <w:rFonts w:ascii="Times New Roman" w:eastAsia="楷体" w:hAnsi="Times New Roman" w:cs="Times New Roman"/>
                <w:b/>
                <w:color w:val="000000" w:themeColor="text1"/>
                <w:sz w:val="24"/>
              </w:rPr>
              <w:t>月，第</w:t>
            </w:r>
            <w:r w:rsidRPr="002A0AF6">
              <w:rPr>
                <w:rFonts w:ascii="Times New Roman" w:eastAsia="楷体" w:hAnsi="Times New Roman" w:cs="Times New Roman" w:hint="eastAsia"/>
                <w:b/>
                <w:color w:val="000000" w:themeColor="text1"/>
                <w:sz w:val="24"/>
              </w:rPr>
              <w:t>一次亚非会议在印尼万隆举行，形成了以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团结、友谊、合作</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为核心的万隆精神。此后，万隆精神被嵌入东盟创立与发展的进程中。</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Segoe UI Symbol" w:eastAsia="楷体" w:hAnsi="Segoe UI Symbol" w:cs="Segoe UI Symbol"/>
                <w:b/>
                <w:color w:val="000000" w:themeColor="text1"/>
                <w:sz w:val="24"/>
              </w:rPr>
              <w:t>☞</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月，中国</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东盟自贸区</w:t>
            </w:r>
            <w:r w:rsidRPr="002A0AF6">
              <w:rPr>
                <w:rFonts w:ascii="Times New Roman" w:eastAsia="楷体" w:hAnsi="Times New Roman" w:cs="Times New Roman"/>
                <w:b/>
                <w:color w:val="000000" w:themeColor="text1"/>
                <w:sz w:val="24"/>
              </w:rPr>
              <w:t>3.0</w:t>
            </w:r>
            <w:r w:rsidRPr="002A0AF6">
              <w:rPr>
                <w:rFonts w:ascii="Times New Roman" w:eastAsia="楷体" w:hAnsi="Times New Roman" w:cs="Times New Roman"/>
                <w:b/>
                <w:color w:val="000000" w:themeColor="text1"/>
                <w:sz w:val="24"/>
              </w:rPr>
              <w:t>版升级谈判实质性结束，标志着双方在数字经济、绿色经济等新兴领域的合作将进一步深化。</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材料表明，中国与东盟</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积极弘扬万隆精神，推动建设合作共赢的新型国际关系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通过深化南南合作，不断提升在国际多边机制的话语权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始终坚持共同立场，为正确处理国际关系贡献亚洲智慧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共同维护自由贸易体制，积极推进区域经济一</w:t>
      </w:r>
      <w:r w:rsidRPr="002A0AF6">
        <w:rPr>
          <w:rFonts w:ascii="Times New Roman" w:eastAsia="宋体" w:hAnsi="Times New Roman" w:cs="Times New Roman" w:hint="eastAsia"/>
          <w:b/>
          <w:color w:val="000000" w:themeColor="text1"/>
          <w:sz w:val="24"/>
        </w:rPr>
        <w:t>体化进程</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万隆精神以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团结、友谊、合作</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为核心，与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合作共赢</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的新型国际关系内涵相通，弘扬万隆精神，有利于推动建设合作共赢的新型国际关系，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正确。中国</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东盟自贸区</w:t>
      </w:r>
      <w:r w:rsidRPr="002A0AF6">
        <w:rPr>
          <w:rFonts w:ascii="Times New Roman" w:eastAsia="楷体" w:hAnsi="Times New Roman" w:cs="Times New Roman"/>
          <w:b/>
          <w:color w:val="000000" w:themeColor="text1"/>
          <w:sz w:val="24"/>
        </w:rPr>
        <w:t>3.0</w:t>
      </w:r>
      <w:r w:rsidRPr="002A0AF6">
        <w:rPr>
          <w:rFonts w:ascii="Times New Roman" w:eastAsia="楷体" w:hAnsi="Times New Roman" w:cs="Times New Roman"/>
          <w:b/>
          <w:color w:val="000000" w:themeColor="text1"/>
          <w:sz w:val="24"/>
        </w:rPr>
        <w:t>版将进一步深化数字经济、绿色经济等新兴领域的合作，这说明中国与东盟共同维护自由贸易体制，积极推进区域经济一体化进程，</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正确。南南合作是指发展中国家之间的政治、经济、文化等领域的合作，材料体现深化南南合作，但未提及提升在</w:t>
      </w:r>
      <w:r w:rsidRPr="002A0AF6">
        <w:rPr>
          <w:rFonts w:ascii="Times New Roman" w:eastAsia="楷体" w:hAnsi="Times New Roman" w:cs="Times New Roman" w:hint="eastAsia"/>
          <w:b/>
          <w:color w:val="000000" w:themeColor="text1"/>
          <w:sz w:val="24"/>
        </w:rPr>
        <w:t>国际多边机制的话语权，</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排除。独立自主是我国外交政策的基本立场，中国与东盟有共同利益和合作，</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始终坚持共同立场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说法过于绝对，</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张某发现汽车后轮有明显裂损致难以行驶。通过查看物业监控，张某发现邻居王某持木棍有意将李某的狗驱赶至自己的车前，受惊的狗致车辆受损。张某找王某索赔被拒后，便擅自将王某的姓名、电话号码、可识别王某的监控视频发布网络，后王某遭受个别网民电话骚扰谩骂。下列判断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不论李某是否有过错，都不影响张某向李某追责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即使李某存在故意或过失，张某也可</w:t>
      </w:r>
      <w:r w:rsidRPr="002A0AF6">
        <w:rPr>
          <w:rFonts w:ascii="Times New Roman" w:eastAsia="宋体" w:hAnsi="Times New Roman" w:cs="Times New Roman" w:hint="eastAsia"/>
          <w:b/>
          <w:color w:val="000000" w:themeColor="text1"/>
          <w:sz w:val="24"/>
        </w:rPr>
        <w:t xml:space="preserve">向王某索赔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张某的行为侵害了王某的肖像权和名誉权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王某应委托辩护人维护个人信息权益和隐私权</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饲养的动物造成他人损害的，由动物饲养人或者管理人承担无过错侵权责任，所以不论李某是否有过错，张某都可以向李某追责，</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正确。王某故意驱赶狗致车辆受损，其主观上存在过错，且该行为与张某车辆受损存在因果关系，应承担一般侵权责任，故张某有权向王某索赔，</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符合题意。张某公开王某姓名、电话号码、可识别</w:t>
      </w:r>
      <w:r w:rsidRPr="002A0AF6">
        <w:rPr>
          <w:rFonts w:ascii="Times New Roman" w:eastAsia="楷体" w:hAnsi="Times New Roman" w:cs="Times New Roman" w:hint="eastAsia"/>
          <w:b/>
          <w:color w:val="000000" w:themeColor="text1"/>
          <w:sz w:val="24"/>
        </w:rPr>
        <w:t>王某的监控视频的行为，侵犯了王某的肖像权、个人信息权益，未侵害王某名誉权，</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不选。辩护人是刑事诉讼中，为犯罪嫌疑人、被告人提供辩护的人，本案属于民事侵权纠纷，王某应委托诉讼代理人而非辩护人维权，</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．郭某从事高新技术研究工作，</w:t>
      </w:r>
      <w:r w:rsidRPr="002A0AF6">
        <w:rPr>
          <w:rFonts w:ascii="Times New Roman" w:eastAsia="宋体" w:hAnsi="Times New Roman" w:cs="Times New Roman"/>
          <w:b/>
          <w:color w:val="000000" w:themeColor="text1"/>
          <w:sz w:val="24"/>
        </w:rPr>
        <w:t>2021</w:t>
      </w:r>
      <w:r w:rsidRPr="002A0AF6">
        <w:rPr>
          <w:rFonts w:ascii="Times New Roman" w:eastAsia="宋体" w:hAnsi="Times New Roman" w:cs="Times New Roman"/>
          <w:b/>
          <w:color w:val="000000" w:themeColor="text1"/>
          <w:sz w:val="24"/>
        </w:rPr>
        <w:t>年与何某结婚。</w:t>
      </w:r>
      <w:r w:rsidRPr="002A0AF6">
        <w:rPr>
          <w:rFonts w:ascii="Times New Roman" w:eastAsia="宋体" w:hAnsi="Times New Roman" w:cs="Times New Roman"/>
          <w:b/>
          <w:color w:val="000000" w:themeColor="text1"/>
          <w:sz w:val="24"/>
        </w:rPr>
        <w:t>2022</w:t>
      </w:r>
      <w:r w:rsidRPr="002A0AF6">
        <w:rPr>
          <w:rFonts w:ascii="Times New Roman" w:eastAsia="宋体" w:hAnsi="Times New Roman" w:cs="Times New Roman"/>
          <w:b/>
          <w:color w:val="000000" w:themeColor="text1"/>
          <w:sz w:val="24"/>
        </w:rPr>
        <w:t>年，郭某以个人名义向银行申请贷款，购买了房屋</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与何某共同居住。</w:t>
      </w:r>
      <w:r w:rsidRPr="002A0AF6">
        <w:rPr>
          <w:rFonts w:ascii="Times New Roman" w:eastAsia="宋体" w:hAnsi="Times New Roman" w:cs="Times New Roman"/>
          <w:b/>
          <w:color w:val="000000" w:themeColor="text1"/>
          <w:sz w:val="24"/>
        </w:rPr>
        <w:t>2023</w:t>
      </w:r>
      <w:r w:rsidRPr="002A0AF6">
        <w:rPr>
          <w:rFonts w:ascii="Times New Roman" w:eastAsia="宋体" w:hAnsi="Times New Roman" w:cs="Times New Roman"/>
          <w:b/>
          <w:color w:val="000000" w:themeColor="text1"/>
          <w:sz w:val="24"/>
        </w:rPr>
        <w:t>年，郭某与</w:t>
      </w:r>
      <w:r w:rsidRPr="002A0AF6">
        <w:rPr>
          <w:rFonts w:ascii="Times New Roman" w:eastAsia="宋体" w:hAnsi="Times New Roman" w:cs="Times New Roman"/>
          <w:b/>
          <w:color w:val="000000" w:themeColor="text1"/>
          <w:sz w:val="24"/>
        </w:rPr>
        <w:t>S</w:t>
      </w:r>
      <w:r w:rsidRPr="002A0AF6">
        <w:rPr>
          <w:rFonts w:ascii="Times New Roman" w:eastAsia="宋体" w:hAnsi="Times New Roman" w:cs="Times New Roman"/>
          <w:b/>
          <w:color w:val="000000" w:themeColor="text1"/>
          <w:sz w:val="24"/>
        </w:rPr>
        <w:t>公司签订专利许可协议并收取费用。何某和郭某一直全力照顾何某外祖母的生活。</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年，何某外祖母订立遗嘱，明确其名下的房屋</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归何某所有，其他财产归何某行动</w:t>
      </w:r>
      <w:r w:rsidRPr="002A0AF6">
        <w:rPr>
          <w:rFonts w:ascii="Times New Roman" w:eastAsia="宋体" w:hAnsi="Times New Roman" w:cs="Times New Roman" w:hint="eastAsia"/>
          <w:b/>
          <w:color w:val="000000" w:themeColor="text1"/>
          <w:sz w:val="24"/>
        </w:rPr>
        <w:t>不便的母亲。下列判断正确的是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虽然房屋</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 xml:space="preserve">由郭某个人贷款，但房贷仍可成为郭某夫妻共同债务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郭某的专利虽被</w:t>
      </w:r>
      <w:r w:rsidRPr="002A0AF6">
        <w:rPr>
          <w:rFonts w:ascii="Times New Roman" w:eastAsia="宋体" w:hAnsi="Times New Roman" w:cs="Times New Roman"/>
          <w:b/>
          <w:color w:val="000000" w:themeColor="text1"/>
          <w:sz w:val="24"/>
        </w:rPr>
        <w:t>S</w:t>
      </w:r>
      <w:r w:rsidRPr="002A0AF6">
        <w:rPr>
          <w:rFonts w:ascii="Times New Roman" w:eastAsia="宋体" w:hAnsi="Times New Roman" w:cs="Times New Roman"/>
          <w:b/>
          <w:color w:val="000000" w:themeColor="text1"/>
          <w:sz w:val="24"/>
        </w:rPr>
        <w:t xml:space="preserve">公司付费使用，但只要保密得当就可一直受法律保护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郭某可通过成年意定监护制度保护何某外祖母合法权益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当遗嘱发生效力时，何某将以遗嘱继承方式取得房屋</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的所有权</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根据法律规定，夫妻一方在婚姻关系存续期间以个人名义为家庭日常生活需要所负的债务，属于夫妻共同债务。本案</w:t>
      </w:r>
      <w:r w:rsidRPr="002A0AF6">
        <w:rPr>
          <w:rFonts w:ascii="Times New Roman" w:eastAsia="楷体" w:hAnsi="Times New Roman" w:cs="Times New Roman" w:hint="eastAsia"/>
          <w:b/>
          <w:color w:val="000000" w:themeColor="text1"/>
          <w:sz w:val="24"/>
        </w:rPr>
        <w:t>中郭某婚后以个人名义贷款购买房屋</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与何某共同居住，该贷款属于为家庭日常生活需要所负的债务，属于郭某夫妻共同债务，</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成年意定监护制度：具有完全民事行为能力的成年人，可以与其近亲属、其他愿意担任监护人的个人或者组织事先协商，以书面形式确定自己的监护人。监护人在该成年人丧失或者部分丧失民事行为能力时，履行监护职责。本案中，郭某可通过成年意定监护制度保护何某外祖母合法权益，</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正确。发明专利的保护期为</w:t>
      </w:r>
      <w:r w:rsidRPr="002A0AF6">
        <w:rPr>
          <w:rFonts w:ascii="Times New Roman" w:eastAsia="楷体" w:hAnsi="Times New Roman" w:cs="Times New Roman"/>
          <w:b/>
          <w:color w:val="000000" w:themeColor="text1"/>
          <w:sz w:val="24"/>
        </w:rPr>
        <w:t>20</w:t>
      </w:r>
      <w:r w:rsidRPr="002A0AF6">
        <w:rPr>
          <w:rFonts w:ascii="Times New Roman" w:eastAsia="楷体" w:hAnsi="Times New Roman" w:cs="Times New Roman"/>
          <w:b/>
          <w:color w:val="000000" w:themeColor="text1"/>
          <w:sz w:val="24"/>
        </w:rPr>
        <w:t>年，实用新型专利的保护期为</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年，外观设计专利的保护期为</w:t>
      </w:r>
      <w:r w:rsidRPr="002A0AF6">
        <w:rPr>
          <w:rFonts w:ascii="Times New Roman" w:eastAsia="楷体" w:hAnsi="Times New Roman" w:cs="Times New Roman"/>
          <w:b/>
          <w:color w:val="000000" w:themeColor="text1"/>
          <w:sz w:val="24"/>
        </w:rPr>
        <w:t>15</w:t>
      </w:r>
      <w:r w:rsidRPr="002A0AF6">
        <w:rPr>
          <w:rFonts w:ascii="Times New Roman" w:eastAsia="楷体" w:hAnsi="Times New Roman" w:cs="Times New Roman"/>
          <w:b/>
          <w:color w:val="000000" w:themeColor="text1"/>
          <w:sz w:val="24"/>
        </w:rPr>
        <w:t>年，均自申请日起计算。保护期满以后，这些发明创</w:t>
      </w:r>
      <w:r w:rsidRPr="002A0AF6">
        <w:rPr>
          <w:rFonts w:ascii="Times New Roman" w:eastAsia="楷体" w:hAnsi="Times New Roman" w:cs="Times New Roman" w:hint="eastAsia"/>
          <w:b/>
          <w:color w:val="000000" w:themeColor="text1"/>
          <w:sz w:val="24"/>
        </w:rPr>
        <w:t>造就进入公共领域，任何人都可以免费使用。郭某的专利有法定的保护期限，并非只要保密得当就可一直受法律保护，</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错误。遗嘱继承是在法定继承人的范围内确定具体继承人及份额。法定继承人的范围和顺序是：配偶、子女、父母</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第一顺序</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，兄弟姐妹、祖父母、外祖父母</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第二顺序</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。外孙女和外孙女婿并不属于法定继承人。本案中，何某外祖母订立的遗嘱属于遗赠，何某以遗赠的方式取得房屋</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的所有权，</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．《长安三万里》，制作历时</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年；《哪吒之魔童闹海》，</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年；《西游记之大圣归来》，</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年。甲、乙据此分别得出如下结论：</w:t>
      </w:r>
    </w:p>
    <w:tbl>
      <w:tblPr>
        <w:tblW w:w="7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03"/>
      </w:tblGrid>
      <w:tr w:rsidR="002A0AF6" w:rsidRPr="002A0AF6" w:rsidTr="0075731D">
        <w:trPr>
          <w:jc w:val="center"/>
        </w:trPr>
        <w:tc>
          <w:tcPr>
            <w:tcW w:w="7503"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甲：优秀国产动画电影都需要漫长的制作周期</w:t>
            </w:r>
          </w:p>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乙：只有激发创作团队精益求精的工匠精神，才能创作出优秀动画电影</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据材料，下列说法正确的是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甲使用了科学归纳推理得出结论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针对乙的结论，通过否定它的前件而在结论中否定它的后件，这是正确的推理结构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以甲的结论为前提进行换位质推理，可得</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有些需要漫长制作周期的不是优秀国产动画电影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若以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动画电影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为属概念，则《哪吒之魔童闹海</w:t>
      </w:r>
      <w:r w:rsidRPr="002A0AF6">
        <w:rPr>
          <w:rFonts w:ascii="Times New Roman" w:eastAsia="宋体" w:hAnsi="Times New Roman" w:cs="Times New Roman" w:hint="eastAsia"/>
          <w:b/>
          <w:color w:val="000000" w:themeColor="text1"/>
          <w:sz w:val="24"/>
        </w:rPr>
        <w:t>》与《长安三万里》在外延上是反对关系</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乙的结论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只有激发创作团队精益求精的工匠精神，才能创作出优秀动画电影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属于必要条件假言判断，必要条件假言推理的有效式为否定前件式和肯定后件式，即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若未激发创作团队精益求精的工匠精神，则无法创作出优秀动画电影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，这是正确的推理结构，</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动画电影</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为属概念，《哪吒之魔童闹海》与《长安三万里》均为该属概念下的不同种概念，且二者外延之和小于该属概</w:t>
      </w:r>
      <w:r w:rsidRPr="002A0AF6">
        <w:rPr>
          <w:rFonts w:ascii="Times New Roman" w:eastAsia="楷体" w:hAnsi="Times New Roman" w:cs="Times New Roman" w:hint="eastAsia"/>
          <w:b/>
          <w:color w:val="000000" w:themeColor="text1"/>
          <w:sz w:val="24"/>
        </w:rPr>
        <w:t>念的外延，因此属于反对关系，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正确。甲通过列举《长安三万里》《哪吒之魔童闹海》《西游记之大圣归来》三个案例，就得出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优秀国产动画电影都需要漫长的制作周期</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的结论，这属于不完全归纳推理中的简单枚举归纳推理，而非科学归纳推理，</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错误。甲的结论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优秀国产动画电影都需要漫长的制作周期</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换位推理后为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有些需要漫长制作周期的是优秀国产动画电影</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，再经过换质推理后为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有些需要漫长制作周期的不是非优秀国产动画电影</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．为了解农业智能化发展状况，调查人员到某蔬菜种植园区进行相关调查，发现：</w:t>
      </w:r>
    </w:p>
    <w:tbl>
      <w:tblPr>
        <w:tblW w:w="74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57"/>
      </w:tblGrid>
      <w:tr w:rsidR="002A0AF6" w:rsidRPr="002A0AF6" w:rsidTr="0075731D">
        <w:trPr>
          <w:jc w:val="center"/>
        </w:trPr>
        <w:tc>
          <w:tcPr>
            <w:tcW w:w="7457" w:type="dxa"/>
            <w:shd w:val="clear" w:color="auto" w:fill="auto"/>
            <w:vAlign w:val="center"/>
          </w:tcPr>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Segoe UI Symbol" w:eastAsia="宋体" w:hAnsi="Segoe UI Symbol" w:cs="Segoe UI Symbol"/>
                <w:b/>
                <w:color w:val="000000" w:themeColor="text1"/>
                <w:sz w:val="24"/>
              </w:rPr>
              <w:t>☞</w:t>
            </w:r>
            <w:r w:rsidRPr="002A0AF6">
              <w:rPr>
                <w:rFonts w:ascii="Times New Roman" w:eastAsia="宋体" w:hAnsi="Times New Roman" w:cs="Times New Roman"/>
                <w:b/>
                <w:color w:val="000000" w:themeColor="text1"/>
                <w:sz w:val="24"/>
              </w:rPr>
              <w:t>所有使用自动卷帘设备的大棚都使用高清视频采集设备</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Segoe UI Symbol" w:eastAsia="宋体" w:hAnsi="Segoe UI Symbol" w:cs="Segoe UI Symbol"/>
                <w:b/>
                <w:color w:val="000000" w:themeColor="text1"/>
                <w:sz w:val="24"/>
              </w:rPr>
              <w:t>☞</w:t>
            </w:r>
            <w:r w:rsidRPr="002A0AF6">
              <w:rPr>
                <w:rFonts w:ascii="Times New Roman" w:eastAsia="宋体" w:hAnsi="Times New Roman" w:cs="Times New Roman"/>
                <w:b/>
                <w:color w:val="000000" w:themeColor="text1"/>
                <w:sz w:val="24"/>
              </w:rPr>
              <w:t>有的使用高清视频采集设备的大棚使用水肥一体化设备</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Segoe UI Symbol" w:eastAsia="宋体" w:hAnsi="Segoe UI Symbol" w:cs="Segoe UI Symbol"/>
                <w:b/>
                <w:color w:val="000000" w:themeColor="text1"/>
                <w:sz w:val="24"/>
              </w:rPr>
              <w:t>☞</w:t>
            </w:r>
            <w:r w:rsidRPr="002A0AF6">
              <w:rPr>
                <w:rFonts w:ascii="Times New Roman" w:eastAsia="宋体" w:hAnsi="Times New Roman" w:cs="Times New Roman"/>
                <w:b/>
                <w:color w:val="000000" w:themeColor="text1"/>
                <w:sz w:val="24"/>
              </w:rPr>
              <w:t>所有使用高清视频采集设备的大棚都没有使用土壤监测传感设备</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据材料，使用三段论的基本规则能够推出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有的使用水肥一体化设备的大棚使用自动卷帘设备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有的使用水肥一体化设备的大棚使用土壤监测传感设备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有的使用水肥一体化设备的大棚没有使用土壤监测传感设备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所有使用土壤</w:t>
      </w:r>
      <w:r w:rsidRPr="002A0AF6">
        <w:rPr>
          <w:rFonts w:ascii="Times New Roman" w:eastAsia="宋体" w:hAnsi="Times New Roman" w:cs="Times New Roman" w:hint="eastAsia"/>
          <w:b/>
          <w:color w:val="000000" w:themeColor="text1"/>
          <w:sz w:val="24"/>
        </w:rPr>
        <w:t>监测传感设备的大棚都没有使用自动卷帘设备</w:t>
      </w:r>
    </w:p>
    <w:p w:rsid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D33C0">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D33C0">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根据三段论推理规则，中项在前提中至少周延一次。</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作为结论，推理的前提是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所有使用自动卷帘设备的大棚都使用高清视频采集设备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有的使用高清视频采集设备的大棚使用水肥一体化设备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，其中项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使用高清视频采集设备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在前提中均不周延，犯了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中项不周延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的错误，故排除</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。根据三段论推理规划，结论为否定，当且仅当，前提中有一否定。故根据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有的使用高清视频采</w:t>
      </w:r>
      <w:r w:rsidRPr="002A0AF6">
        <w:rPr>
          <w:rFonts w:ascii="Times New Roman" w:eastAsia="楷体" w:hAnsi="Times New Roman" w:cs="Times New Roman" w:hint="eastAsia"/>
          <w:b/>
          <w:color w:val="000000" w:themeColor="text1"/>
          <w:sz w:val="24"/>
        </w:rPr>
        <w:t>集设备的大棚使用水肥一体化设备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所有使用高清视频采集设备的大棚都没有使用土壤监测传感设备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，可推出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有的使用水肥一体化设备的大棚没有使用土壤监测传感设备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作为结论，推理的前提是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所有使用自动卷帘设备的大棚都使用高清视频采集设备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所有使用高清视频采集设备的大棚都没有使用土壤监测传感设备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，符合三段论推理规则，</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w:t>
      </w:r>
      <w:r w:rsidRPr="002A0AF6">
        <w:rPr>
          <w:rFonts w:ascii="Times New Roman" w:eastAsia="宋体" w:hAnsi="Times New Roman" w:cs="Times New Roman"/>
          <w:b/>
          <w:color w:val="000000" w:themeColor="text1"/>
          <w:sz w:val="24"/>
        </w:rPr>
        <w:t>本题共</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小题，共</w:t>
      </w:r>
      <w:r w:rsidRPr="002A0AF6">
        <w:rPr>
          <w:rFonts w:ascii="Times New Roman" w:eastAsia="宋体" w:hAnsi="Times New Roman" w:cs="Times New Roman"/>
          <w:b/>
          <w:color w:val="000000" w:themeColor="text1"/>
          <w:sz w:val="24"/>
        </w:rPr>
        <w:t>55</w:t>
      </w:r>
      <w:r w:rsidRPr="002A0AF6">
        <w:rPr>
          <w:rFonts w:ascii="Times New Roman" w:eastAsia="宋体" w:hAnsi="Times New Roman" w:cs="Times New Roman"/>
          <w:b/>
          <w:color w:val="000000" w:themeColor="text1"/>
          <w:sz w:val="24"/>
        </w:rPr>
        <w:t>分。</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行政复议，一头连着行政机关，一头连着人民群众。新修订的行政复议法</w:t>
      </w:r>
      <w:r w:rsidRPr="002A0AF6">
        <w:rPr>
          <w:rFonts w:ascii="Times New Roman" w:eastAsia="宋体" w:hAnsi="Times New Roman" w:cs="Times New Roman" w:hint="eastAsia"/>
          <w:b/>
          <w:color w:val="000000" w:themeColor="text1"/>
          <w:sz w:val="24"/>
        </w:rPr>
        <w:t>实施一年来，行政复议化解行政争议主渠道作用日益凸显。</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【缘起】</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申请人文某、宋某等为某老旧小区业主，向某市自然资源和规划局提出增设电梯申请。被申请人依据该市《关于进一步推进既有住宅电梯增设工作的实施意见》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以下简称《意见》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第</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条</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原则上不得在建筑临街面设置电梯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的规定，作出暂不能批复同意的回复。</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【复议】</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申请人不服，向该市人民政府申请行政复议。行政复议机构经调查发现：该楼老年居民占比</w:t>
      </w:r>
      <w:r w:rsidRPr="002A0AF6">
        <w:rPr>
          <w:rFonts w:ascii="Times New Roman" w:eastAsia="楷体" w:hAnsi="Times New Roman" w:cs="Times New Roman"/>
          <w:b/>
          <w:color w:val="000000" w:themeColor="text1"/>
          <w:sz w:val="24"/>
        </w:rPr>
        <w:t>60%</w:t>
      </w:r>
      <w:r w:rsidRPr="002A0AF6">
        <w:rPr>
          <w:rFonts w:ascii="Times New Roman" w:eastAsia="楷体" w:hAnsi="Times New Roman" w:cs="Times New Roman"/>
          <w:b/>
          <w:color w:val="000000" w:themeColor="text1"/>
          <w:sz w:val="24"/>
        </w:rPr>
        <w:t>，增设电梯意愿强烈，且已征得相邻权利人同意；该楼所临街道并非主要道路，增设电梯对城市风貌影响不大</w:t>
      </w:r>
      <w:r w:rsidRPr="002A0AF6">
        <w:rPr>
          <w:rFonts w:ascii="Times New Roman" w:eastAsia="楷体" w:hAnsi="Times New Roman" w:cs="Times New Roman" w:hint="eastAsia"/>
          <w:b/>
          <w:color w:val="000000" w:themeColor="text1"/>
          <w:sz w:val="24"/>
        </w:rPr>
        <w:t>；《意见》正在修订中。</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【调解】</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行政复议机构征得当事人同意后，中止案件审理，组织双方调解：向申请人阐明，不予审批同意不违反现有规定；向被申请人指出，应当兼顾实现行政目标和保护相对人利益。同时，行政复议机构推动相关部门在修订《意见》时完善第</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条内容：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内部设置确有困难</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可临街设置，但不得破坏建筑立面整体风格。</w:t>
      </w:r>
      <w:r w:rsidRPr="00A73771">
        <w:rPr>
          <w:rFonts w:ascii="宋体" w:eastAsia="宋体" w:hAnsi="宋体" w:cs="Times New Roman"/>
          <w:b/>
          <w:color w:val="000000" w:themeColor="text1"/>
          <w:sz w:val="24"/>
        </w:rPr>
        <w:t>”</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【化解】</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在新修订的《意见》指导下，申请人增设电梯方案获通过。行政复议中止原因消除，案件恢复审理。申请人撤回行政复议申请，行政复议终止，案件圆满解决。</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结合材料，运用《政治与法治》的知识</w:t>
      </w:r>
      <w:r w:rsidRPr="002A0AF6">
        <w:rPr>
          <w:rFonts w:ascii="Times New Roman" w:eastAsia="宋体" w:hAnsi="Times New Roman" w:cs="Times New Roman" w:hint="eastAsia"/>
          <w:b/>
          <w:color w:val="000000" w:themeColor="text1"/>
          <w:sz w:val="24"/>
        </w:rPr>
        <w:t>，说明行政复议制度是如何推动政府兼顾实现行政目标和保护相对人利益的。</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行政复议制度连着行政机关与人民群众，有利于纠正违法或不当行政行为，保护公民、法人和其他组织的合法权益，监督行政机关依法行使职权，推进法治政府建设。</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健全行政权力制约和监督体系，依法审查行政行为合法性。行政复议机构审查被申请人的行政行为是否符合规定，使行政目标的实现具有法律依据。</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始终坚持以人民为中心，平衡公共利益与个人权益。行政复议机构在行政目标与相对人利益间寻求平衡。</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运用调解机制柔性化解矛盾。组</w:t>
      </w:r>
      <w:r w:rsidRPr="002A0AF6">
        <w:rPr>
          <w:rFonts w:ascii="Times New Roman" w:eastAsia="宋体" w:hAnsi="Times New Roman" w:cs="Times New Roman" w:hint="eastAsia"/>
          <w:b/>
          <w:color w:val="000000" w:themeColor="text1"/>
          <w:sz w:val="24"/>
        </w:rPr>
        <w:t>织双方调解，通过向申请人释法和被申请人释理达成共识，避免矛盾激化，兼顾行政目标与相对人利益，提升了社会治理效能。</w:t>
      </w:r>
      <w:r w:rsidRPr="002A0AF6">
        <w:rPr>
          <w:rFonts w:ascii="宋体" w:eastAsia="宋体" w:hAnsi="宋体" w:cs="Times New Roman" w:hint="eastAsia"/>
          <w:b/>
          <w:color w:val="000000" w:themeColor="text1"/>
          <w:sz w:val="24"/>
        </w:rPr>
        <w:t>⑤</w:t>
      </w:r>
      <w:r w:rsidRPr="002A0AF6">
        <w:rPr>
          <w:rFonts w:ascii="Times New Roman" w:eastAsia="宋体" w:hAnsi="Times New Roman" w:cs="Times New Roman" w:hint="eastAsia"/>
          <w:b/>
          <w:color w:val="000000" w:themeColor="text1"/>
          <w:sz w:val="24"/>
        </w:rPr>
        <w:t>坚持科学民主依法决策，推动制度完善，实现长远利益协调。行政复议机构推动修订《意见》，完善相关条款，维护了行政目标，保障了相对人权益，从源头化解争议。</w:t>
      </w:r>
    </w:p>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品牌是高质量发展的重要象征。</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中国企业</w:t>
      </w:r>
      <w:r w:rsidRPr="002A0AF6">
        <w:rPr>
          <w:rFonts w:ascii="Times New Roman" w:eastAsia="楷体" w:hAnsi="Times New Roman" w:cs="Times New Roman"/>
          <w:b/>
          <w:color w:val="000000" w:themeColor="text1"/>
          <w:sz w:val="24"/>
        </w:rPr>
        <w:t>500</w:t>
      </w:r>
      <w:r w:rsidRPr="002A0AF6">
        <w:rPr>
          <w:rFonts w:ascii="Times New Roman" w:eastAsia="楷体" w:hAnsi="Times New Roman" w:cs="Times New Roman"/>
          <w:b/>
          <w:color w:val="000000" w:themeColor="text1"/>
          <w:sz w:val="24"/>
        </w:rPr>
        <w:t>强榜单显示，入围企业总营收迈上</w:t>
      </w:r>
      <w:r w:rsidRPr="002A0AF6">
        <w:rPr>
          <w:rFonts w:ascii="Times New Roman" w:eastAsia="楷体" w:hAnsi="Times New Roman" w:cs="Times New Roman"/>
          <w:b/>
          <w:color w:val="000000" w:themeColor="text1"/>
          <w:sz w:val="24"/>
        </w:rPr>
        <w:t>110</w:t>
      </w:r>
      <w:r w:rsidRPr="002A0AF6">
        <w:rPr>
          <w:rFonts w:ascii="Times New Roman" w:eastAsia="楷体" w:hAnsi="Times New Roman" w:cs="Times New Roman"/>
          <w:b/>
          <w:color w:val="000000" w:themeColor="text1"/>
          <w:sz w:val="24"/>
        </w:rPr>
        <w:t>万亿元新台阶，平均研发投入比上年增长</w:t>
      </w:r>
      <w:r w:rsidRPr="002A0AF6">
        <w:rPr>
          <w:rFonts w:ascii="Times New Roman" w:eastAsia="楷体" w:hAnsi="Times New Roman" w:cs="Times New Roman"/>
          <w:b/>
          <w:color w:val="000000" w:themeColor="text1"/>
          <w:sz w:val="24"/>
        </w:rPr>
        <w:t>9.4%</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数字背后，凸显了中国品牌的实力。然而，当前国内市</w:t>
      </w:r>
      <w:r w:rsidRPr="002A0AF6">
        <w:rPr>
          <w:rFonts w:ascii="Times New Roman" w:eastAsia="楷体" w:hAnsi="Times New Roman" w:cs="Times New Roman" w:hint="eastAsia"/>
          <w:b/>
          <w:color w:val="000000" w:themeColor="text1"/>
          <w:sz w:val="24"/>
        </w:rPr>
        <w:t>场一些领域存在的制度规则不完善、地方保护等问题，以及复杂多变的市场环境，也给中国品牌发展带来了风险挑战。</w:t>
      </w:r>
    </w:p>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超大规模且极具增长潜力的市场，是我国发展的巨大优势和应对变局的坚实依托，也为中国品牌迈向一流提供了广阔空间。下表为</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年我国经济社会发展部分指标。</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6267"/>
      </w:tblGrid>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项目</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举例</w:t>
            </w:r>
          </w:p>
        </w:tc>
      </w:tr>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国内贸易</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社会消费品零售总额</w:t>
            </w:r>
            <w:r w:rsidRPr="002A0AF6">
              <w:rPr>
                <w:rFonts w:ascii="Times New Roman" w:eastAsia="楷体" w:hAnsi="Times New Roman" w:cs="Times New Roman"/>
                <w:b/>
                <w:color w:val="000000" w:themeColor="text1"/>
                <w:sz w:val="24"/>
              </w:rPr>
              <w:t>48.3</w:t>
            </w:r>
            <w:r w:rsidRPr="002A0AF6">
              <w:rPr>
                <w:rFonts w:ascii="Times New Roman" w:eastAsia="楷体" w:hAnsi="Times New Roman" w:cs="Times New Roman"/>
                <w:b/>
                <w:color w:val="000000" w:themeColor="text1"/>
                <w:sz w:val="24"/>
              </w:rPr>
              <w:t>万亿元，同比增长</w:t>
            </w:r>
            <w:r w:rsidRPr="002A0AF6">
              <w:rPr>
                <w:rFonts w:ascii="Times New Roman" w:eastAsia="楷体" w:hAnsi="Times New Roman" w:cs="Times New Roman"/>
                <w:b/>
                <w:color w:val="000000" w:themeColor="text1"/>
                <w:sz w:val="24"/>
              </w:rPr>
              <w:t>3.5%</w:t>
            </w:r>
            <w:r w:rsidRPr="002A0AF6">
              <w:rPr>
                <w:rFonts w:ascii="Times New Roman" w:eastAsia="楷体" w:hAnsi="Times New Roman" w:cs="Times New Roman"/>
                <w:b/>
                <w:color w:val="000000" w:themeColor="text1"/>
                <w:sz w:val="24"/>
              </w:rPr>
              <w:t>。</w:t>
            </w:r>
          </w:p>
        </w:tc>
      </w:tr>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消费市场</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汽车保有量</w:t>
            </w:r>
            <w:r w:rsidRPr="002A0AF6">
              <w:rPr>
                <w:rFonts w:ascii="Times New Roman" w:eastAsia="楷体" w:hAnsi="Times New Roman" w:cs="Times New Roman"/>
                <w:b/>
                <w:color w:val="000000" w:themeColor="text1"/>
                <w:sz w:val="24"/>
              </w:rPr>
              <w:t>3.53</w:t>
            </w:r>
            <w:r w:rsidRPr="002A0AF6">
              <w:rPr>
                <w:rFonts w:ascii="Times New Roman" w:eastAsia="楷体" w:hAnsi="Times New Roman" w:cs="Times New Roman"/>
                <w:b/>
                <w:color w:val="000000" w:themeColor="text1"/>
                <w:sz w:val="24"/>
              </w:rPr>
              <w:t>亿辆，冰箱、洗衣机等主要品类家电保有量超过</w:t>
            </w:r>
            <w:r w:rsidRPr="002A0AF6">
              <w:rPr>
                <w:rFonts w:ascii="Times New Roman" w:eastAsia="楷体" w:hAnsi="Times New Roman" w:cs="Times New Roman"/>
                <w:b/>
                <w:color w:val="000000" w:themeColor="text1"/>
                <w:sz w:val="24"/>
              </w:rPr>
              <w:t>30</w:t>
            </w:r>
            <w:r w:rsidRPr="002A0AF6">
              <w:rPr>
                <w:rFonts w:ascii="Times New Roman" w:eastAsia="楷体" w:hAnsi="Times New Roman" w:cs="Times New Roman"/>
                <w:b/>
                <w:color w:val="000000" w:themeColor="text1"/>
                <w:sz w:val="24"/>
              </w:rPr>
              <w:t>亿台；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以旧换新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带动汽车特别是新能源汽车、家电等消费超</w:t>
            </w:r>
            <w:r w:rsidRPr="002A0AF6">
              <w:rPr>
                <w:rFonts w:ascii="Times New Roman" w:eastAsia="楷体" w:hAnsi="Times New Roman" w:cs="Times New Roman"/>
                <w:b/>
                <w:color w:val="000000" w:themeColor="text1"/>
                <w:sz w:val="24"/>
              </w:rPr>
              <w:t>1.3</w:t>
            </w:r>
            <w:r w:rsidRPr="002A0AF6">
              <w:rPr>
                <w:rFonts w:ascii="Times New Roman" w:eastAsia="楷体" w:hAnsi="Times New Roman" w:cs="Times New Roman"/>
                <w:b/>
                <w:color w:val="000000" w:themeColor="text1"/>
                <w:sz w:val="24"/>
              </w:rPr>
              <w:t>万亿元。</w:t>
            </w:r>
          </w:p>
        </w:tc>
      </w:tr>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网络零售</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网络支付用户规模达</w:t>
            </w:r>
            <w:r w:rsidRPr="002A0AF6">
              <w:rPr>
                <w:rFonts w:ascii="Times New Roman" w:eastAsia="楷体" w:hAnsi="Times New Roman" w:cs="Times New Roman"/>
                <w:b/>
                <w:color w:val="000000" w:themeColor="text1"/>
                <w:sz w:val="24"/>
              </w:rPr>
              <w:t>10.29</w:t>
            </w:r>
            <w:r w:rsidRPr="002A0AF6">
              <w:rPr>
                <w:rFonts w:ascii="Times New Roman" w:eastAsia="楷体" w:hAnsi="Times New Roman" w:cs="Times New Roman"/>
                <w:b/>
                <w:color w:val="000000" w:themeColor="text1"/>
                <w:sz w:val="24"/>
              </w:rPr>
              <w:t>亿人，网络购物用户规模达</w:t>
            </w:r>
            <w:r w:rsidRPr="002A0AF6">
              <w:rPr>
                <w:rFonts w:ascii="Times New Roman" w:eastAsia="楷体" w:hAnsi="Times New Roman" w:cs="Times New Roman"/>
                <w:b/>
                <w:color w:val="000000" w:themeColor="text1"/>
                <w:sz w:val="24"/>
              </w:rPr>
              <w:t>9.74</w:t>
            </w:r>
            <w:r w:rsidRPr="002A0AF6">
              <w:rPr>
                <w:rFonts w:ascii="Times New Roman" w:eastAsia="楷体" w:hAnsi="Times New Roman" w:cs="Times New Roman"/>
                <w:b/>
                <w:color w:val="000000" w:themeColor="text1"/>
                <w:sz w:val="24"/>
              </w:rPr>
              <w:t>亿人。</w:t>
            </w:r>
          </w:p>
        </w:tc>
      </w:tr>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工业</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制造业总体规模连续</w:t>
            </w:r>
            <w:r w:rsidRPr="002A0AF6">
              <w:rPr>
                <w:rFonts w:ascii="Times New Roman" w:eastAsia="楷体" w:hAnsi="Times New Roman" w:cs="Times New Roman"/>
                <w:b/>
                <w:color w:val="000000" w:themeColor="text1"/>
                <w:sz w:val="24"/>
              </w:rPr>
              <w:t>15</w:t>
            </w:r>
            <w:r w:rsidRPr="002A0AF6">
              <w:rPr>
                <w:rFonts w:ascii="Times New Roman" w:eastAsia="楷体" w:hAnsi="Times New Roman" w:cs="Times New Roman"/>
                <w:b/>
                <w:color w:val="000000" w:themeColor="text1"/>
                <w:sz w:val="24"/>
              </w:rPr>
              <w:t>年保持全球第一；</w:t>
            </w:r>
            <w:r w:rsidRPr="002A0AF6">
              <w:rPr>
                <w:rFonts w:ascii="Times New Roman" w:eastAsia="楷体" w:hAnsi="Times New Roman" w:cs="Times New Roman"/>
                <w:b/>
                <w:color w:val="000000" w:themeColor="text1"/>
                <w:sz w:val="24"/>
              </w:rPr>
              <w:t>41</w:t>
            </w:r>
            <w:r w:rsidRPr="002A0AF6">
              <w:rPr>
                <w:rFonts w:ascii="Times New Roman" w:eastAsia="楷体" w:hAnsi="Times New Roman" w:cs="Times New Roman"/>
                <w:b/>
                <w:color w:val="000000" w:themeColor="text1"/>
                <w:sz w:val="24"/>
              </w:rPr>
              <w:t>个工业大类行业中</w:t>
            </w:r>
            <w:r w:rsidRPr="002A0AF6">
              <w:rPr>
                <w:rFonts w:ascii="Times New Roman" w:eastAsia="楷体" w:hAnsi="Times New Roman" w:cs="Times New Roman"/>
                <w:b/>
                <w:color w:val="000000" w:themeColor="text1"/>
                <w:sz w:val="24"/>
              </w:rPr>
              <w:t>39</w:t>
            </w:r>
            <w:r w:rsidRPr="002A0AF6">
              <w:rPr>
                <w:rFonts w:ascii="Times New Roman" w:eastAsia="楷体" w:hAnsi="Times New Roman" w:cs="Times New Roman"/>
                <w:b/>
                <w:color w:val="000000" w:themeColor="text1"/>
                <w:sz w:val="24"/>
              </w:rPr>
              <w:t>个保持增长。</w:t>
            </w:r>
          </w:p>
        </w:tc>
      </w:tr>
      <w:tr w:rsidR="002A0AF6" w:rsidRPr="002A0AF6" w:rsidTr="0075731D">
        <w:trPr>
          <w:jc w:val="center"/>
        </w:trPr>
        <w:tc>
          <w:tcPr>
            <w:tcW w:w="1236"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华文楷体" w:hAnsi="Times New Roman" w:cs="Times New Roman"/>
                <w:b/>
                <w:color w:val="000000" w:themeColor="text1"/>
                <w:sz w:val="24"/>
              </w:rPr>
            </w:pPr>
            <w:r w:rsidRPr="002A0AF6">
              <w:rPr>
                <w:rFonts w:ascii="Times New Roman" w:eastAsia="楷体" w:hAnsi="Times New Roman" w:cs="Times New Roman"/>
                <w:b/>
                <w:color w:val="000000" w:themeColor="text1"/>
                <w:sz w:val="24"/>
              </w:rPr>
              <w:t>教育</w:t>
            </w:r>
          </w:p>
        </w:tc>
        <w:tc>
          <w:tcPr>
            <w:tcW w:w="6267" w:type="dxa"/>
            <w:shd w:val="clear" w:color="auto" w:fill="auto"/>
            <w:vAlign w:val="center"/>
          </w:tcPr>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新增劳动力平均受教育年限超过</w:t>
            </w:r>
            <w:r w:rsidRPr="002A0AF6">
              <w:rPr>
                <w:rFonts w:ascii="Times New Roman" w:eastAsia="楷体" w:hAnsi="Times New Roman" w:cs="Times New Roman"/>
                <w:b/>
                <w:color w:val="000000" w:themeColor="text1"/>
                <w:sz w:val="24"/>
              </w:rPr>
              <w:t>14</w:t>
            </w:r>
            <w:r w:rsidRPr="002A0AF6">
              <w:rPr>
                <w:rFonts w:ascii="Times New Roman" w:eastAsia="楷体" w:hAnsi="Times New Roman" w:cs="Times New Roman"/>
                <w:b/>
                <w:color w:val="000000" w:themeColor="text1"/>
                <w:sz w:val="24"/>
              </w:rPr>
              <w:t>年，高等教育毛入学率提高到</w:t>
            </w:r>
            <w:r w:rsidRPr="002A0AF6">
              <w:rPr>
                <w:rFonts w:ascii="Times New Roman" w:eastAsia="楷体" w:hAnsi="Times New Roman" w:cs="Times New Roman"/>
                <w:b/>
                <w:color w:val="000000" w:themeColor="text1"/>
                <w:sz w:val="24"/>
              </w:rPr>
              <w:t>60.2%</w:t>
            </w:r>
            <w:r w:rsidRPr="002A0AF6">
              <w:rPr>
                <w:rFonts w:ascii="Times New Roman" w:eastAsia="楷体" w:hAnsi="Times New Roman" w:cs="Times New Roman"/>
                <w:b/>
                <w:color w:val="000000" w:themeColor="text1"/>
                <w:sz w:val="24"/>
              </w:rPr>
              <w:t>。</w:t>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有观点认为，国内超大规模市场的需求优势是中国品牌有效应对风险挑</w:t>
      </w:r>
      <w:r w:rsidRPr="002A0AF6">
        <w:rPr>
          <w:rFonts w:ascii="Times New Roman" w:eastAsia="宋体" w:hAnsi="Times New Roman" w:cs="Times New Roman" w:hint="eastAsia"/>
          <w:b/>
          <w:color w:val="000000" w:themeColor="text1"/>
          <w:sz w:val="24"/>
        </w:rPr>
        <w:t>战的关键。结合材料，运用《经济与社会》知识，对该观点进行评析。</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该观点有一定的道理。</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国内超大规模市场具有消费规模大、增长潜力足、需求结构多样等优势，有利于拉动中国品牌的消费需求，是中国</w:t>
      </w:r>
      <w:r w:rsidRPr="002A0AF6">
        <w:rPr>
          <w:rFonts w:ascii="Times New Roman" w:eastAsia="宋体" w:hAnsi="Times New Roman" w:cs="Times New Roman" w:hint="eastAsia"/>
          <w:b/>
          <w:color w:val="000000" w:themeColor="text1"/>
          <w:sz w:val="24"/>
        </w:rPr>
        <w:t>品牌有效应对风险挑战的重要因素。</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要想有效应对风险挑战，中国品牌要加大研发力度，不断提高自主创新能力和核心竞争力；要制定正确的经营战略，提高企业管理水平；要树立良好的企业信誉和形象。</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政府要切实履行经济职能，完善中国品牌发展的市场规则，健全现代市场体系；加强市场监管，打击地方保护等不正当竞争行为。</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国家要加快构建以国内大循环为主体、国内国际双循环相互促进的新发展格局，坚持扩大内需这个战略基点，把实施扩大内需战略同深化供给侧结构性改革有机结合。推动国内贸易发展，通过以旧换新带动消费，大力发展网络零售等新业态，积极推动实体经济发展，提高劳动力素质，不断增强国内大循环内生动力和可靠性。</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中国式现代化既是物质层面的变革与发展，更是精神世界的重塑与升华。在中国式现代化的壮阔征途上，文明底色厚重深沉，文化发展旗帜鲜明，时光长河积淀的精神伟力更加磅礴</w:t>
      </w:r>
      <w:r w:rsidRPr="002A0AF6">
        <w:rPr>
          <w:rFonts w:ascii="宋体" w:eastAsia="宋体" w:hAnsi="宋体" w:cs="Times New Roman"/>
          <w:b/>
          <w:color w:val="000000" w:themeColor="text1"/>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2409"/>
      </w:tblGrid>
      <w:tr w:rsidR="002A0AF6" w:rsidRPr="002A0AF6" w:rsidTr="0075731D">
        <w:trPr>
          <w:jc w:val="center"/>
        </w:trPr>
        <w:tc>
          <w:tcPr>
            <w:tcW w:w="2619"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"25SDZZ3.TIF"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\\25SDZZ3.TIF"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\\25SDZZ3.TIF"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\\25SDZZ3.TIF"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 id="_x0000_i1027" type="#_x0000_t75" style="width:88.1pt;height:93.5pt">
                  <v:imagedata r:id="rId10" r:href="rId11"/>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c>
        <w:tc>
          <w:tcPr>
            <w:tcW w:w="2409"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"25SDZZ4.TIF"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\\25SDZZ4.TIF"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\\25SDZZ4.TIF"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w:instrText>
            </w:r>
            <w:r w:rsidR="00D96D30">
              <w:rPr>
                <w:rFonts w:ascii="Times New Roman" w:eastAsia="宋体" w:hAnsi="Times New Roman" w:cs="Times New Roman" w:hint="eastAsia"/>
                <w:b/>
                <w:color w:val="000000" w:themeColor="text1"/>
                <w:sz w:val="24"/>
              </w:rPr>
              <w:instrText>DZZ4.TIF"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 id="_x0000_i1028" type="#_x0000_t75" style="width:100.5pt;height:97.8pt">
                  <v:imagedata r:id="rId12" r:href="rId13"/>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c>
      </w:tr>
      <w:tr w:rsidR="002A0AF6" w:rsidRPr="002A0AF6" w:rsidTr="0075731D">
        <w:trPr>
          <w:jc w:val="center"/>
        </w:trPr>
        <w:tc>
          <w:tcPr>
            <w:tcW w:w="2619"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"25SDZZ5.TIF"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\\25SDZZ5.TIF"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\\25SDZZ5.TIF"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\\25SDZZ5.TIF"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 id="_x0000_i1029" type="#_x0000_t75" style="width:91.35pt;height:77.9pt">
                  <v:imagedata r:id="rId14" r:href="rId15"/>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c>
        <w:tc>
          <w:tcPr>
            <w:tcW w:w="2409" w:type="dxa"/>
            <w:shd w:val="clear" w:color="auto" w:fill="auto"/>
            <w:vAlign w:val="center"/>
          </w:tcPr>
          <w:p w:rsidR="0075731D" w:rsidRPr="002A0AF6" w:rsidRDefault="0075731D" w:rsidP="004D33C0">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"25SDZZ6.TIF"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\\25SDZZ6.TIF"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6A5F69">
              <w:rPr>
                <w:rFonts w:ascii="Times New Roman" w:eastAsia="宋体" w:hAnsi="Times New Roman" w:cs="Times New Roman"/>
                <w:b/>
                <w:color w:val="000000" w:themeColor="text1"/>
                <w:sz w:val="24"/>
              </w:rPr>
              <w:fldChar w:fldCharType="begin"/>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hint="eastAsia"/>
                <w:b/>
                <w:color w:val="000000" w:themeColor="text1"/>
                <w:sz w:val="24"/>
              </w:rPr>
              <w:instrText>INCLUDEPICTURE  "D:\\1.</w:instrText>
            </w:r>
            <w:r w:rsidR="006A5F69">
              <w:rPr>
                <w:rFonts w:ascii="Times New Roman" w:eastAsia="宋体" w:hAnsi="Times New Roman" w:cs="Times New Roman" w:hint="eastAsia"/>
                <w:b/>
                <w:color w:val="000000" w:themeColor="text1"/>
                <w:sz w:val="24"/>
              </w:rPr>
              <w:instrText>王清爽</w:instrText>
            </w:r>
            <w:r w:rsidR="006A5F69">
              <w:rPr>
                <w:rFonts w:ascii="Times New Roman" w:eastAsia="宋体" w:hAnsi="Times New Roman" w:cs="Times New Roman" w:hint="eastAsia"/>
                <w:b/>
                <w:color w:val="000000" w:themeColor="text1"/>
                <w:sz w:val="24"/>
              </w:rPr>
              <w:instrText>\\1.</w:instrText>
            </w:r>
            <w:r w:rsidR="006A5F69">
              <w:rPr>
                <w:rFonts w:ascii="Times New Roman" w:eastAsia="宋体" w:hAnsi="Times New Roman" w:cs="Times New Roman" w:hint="eastAsia"/>
                <w:b/>
                <w:color w:val="000000" w:themeColor="text1"/>
                <w:sz w:val="24"/>
              </w:rPr>
              <w:instrText>课件</w:instrText>
            </w:r>
            <w:r w:rsidR="006A5F69">
              <w:rPr>
                <w:rFonts w:ascii="Times New Roman" w:eastAsia="宋体" w:hAnsi="Times New Roman" w:cs="Times New Roman" w:hint="eastAsia"/>
                <w:b/>
                <w:color w:val="000000" w:themeColor="text1"/>
                <w:sz w:val="24"/>
              </w:rPr>
              <w:instrText>\\</w:instrText>
            </w:r>
            <w:r w:rsidR="006A5F69">
              <w:rPr>
                <w:rFonts w:ascii="Times New Roman" w:eastAsia="宋体" w:hAnsi="Times New Roman" w:cs="Times New Roman" w:hint="eastAsia"/>
                <w:b/>
                <w:color w:val="000000" w:themeColor="text1"/>
                <w:sz w:val="24"/>
              </w:rPr>
              <w:instrText>高考题</w:instrText>
            </w:r>
            <w:r w:rsidR="006A5F69">
              <w:rPr>
                <w:rFonts w:ascii="Times New Roman" w:eastAsia="宋体" w:hAnsi="Times New Roman" w:cs="Times New Roman" w:hint="eastAsia"/>
                <w:b/>
                <w:color w:val="000000" w:themeColor="text1"/>
                <w:sz w:val="24"/>
              </w:rPr>
              <w:instrText>\\9.</w:instrText>
            </w:r>
            <w:r w:rsidR="006A5F69">
              <w:rPr>
                <w:rFonts w:ascii="Times New Roman" w:eastAsia="宋体" w:hAnsi="Times New Roman" w:cs="Times New Roman" w:hint="eastAsia"/>
                <w:b/>
                <w:color w:val="000000" w:themeColor="text1"/>
                <w:sz w:val="24"/>
              </w:rPr>
              <w:instrText>政治</w:instrText>
            </w:r>
            <w:r w:rsidR="006A5F69">
              <w:rPr>
                <w:rFonts w:ascii="Times New Roman" w:eastAsia="宋体" w:hAnsi="Times New Roman" w:cs="Times New Roman" w:hint="eastAsia"/>
                <w:b/>
                <w:color w:val="000000" w:themeColor="text1"/>
                <w:sz w:val="24"/>
              </w:rPr>
              <w:instrText>\\2025</w:instrText>
            </w:r>
            <w:r w:rsidR="006A5F69">
              <w:rPr>
                <w:rFonts w:ascii="Times New Roman" w:eastAsia="宋体" w:hAnsi="Times New Roman" w:cs="Times New Roman" w:hint="eastAsia"/>
                <w:b/>
                <w:color w:val="000000" w:themeColor="text1"/>
                <w:sz w:val="24"/>
              </w:rPr>
              <w:instrText>年</w:instrText>
            </w:r>
            <w:r w:rsidR="006A5F69">
              <w:rPr>
                <w:rFonts w:ascii="Times New Roman" w:eastAsia="宋体" w:hAnsi="Times New Roman" w:cs="Times New Roman" w:hint="eastAsia"/>
                <w:b/>
                <w:color w:val="000000" w:themeColor="text1"/>
                <w:sz w:val="24"/>
              </w:rPr>
              <w:instrText>\\25SDZZ6.TIF" \* MERGEFORMATINET</w:instrText>
            </w:r>
            <w:r w:rsidR="006A5F69">
              <w:rPr>
                <w:rFonts w:ascii="Times New Roman" w:eastAsia="宋体" w:hAnsi="Times New Roman" w:cs="Times New Roman"/>
                <w:b/>
                <w:color w:val="000000" w:themeColor="text1"/>
                <w:sz w:val="24"/>
              </w:rPr>
              <w:instrText xml:space="preserve"> </w:instrText>
            </w:r>
            <w:r w:rsidR="006A5F69">
              <w:rPr>
                <w:rFonts w:ascii="Times New Roman" w:eastAsia="宋体" w:hAnsi="Times New Roman" w:cs="Times New Roman"/>
                <w:b/>
                <w:color w:val="000000" w:themeColor="text1"/>
                <w:sz w:val="24"/>
              </w:rPr>
              <w:fldChar w:fldCharType="separate"/>
            </w:r>
            <w:r w:rsidR="00D96D30">
              <w:rPr>
                <w:rFonts w:ascii="Times New Roman" w:eastAsia="宋体" w:hAnsi="Times New Roman" w:cs="Times New Roman"/>
                <w:b/>
                <w:color w:val="000000" w:themeColor="text1"/>
                <w:sz w:val="24"/>
              </w:rPr>
              <w:fldChar w:fldCharType="begin"/>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hint="eastAsia"/>
                <w:b/>
                <w:color w:val="000000" w:themeColor="text1"/>
                <w:sz w:val="24"/>
              </w:rPr>
              <w:instrText>INCLUDEPICTURE  "D:\\1.</w:instrText>
            </w:r>
            <w:r w:rsidR="00D96D30">
              <w:rPr>
                <w:rFonts w:ascii="Times New Roman" w:eastAsia="宋体" w:hAnsi="Times New Roman" w:cs="Times New Roman" w:hint="eastAsia"/>
                <w:b/>
                <w:color w:val="000000" w:themeColor="text1"/>
                <w:sz w:val="24"/>
              </w:rPr>
              <w:instrText>王清爽</w:instrText>
            </w:r>
            <w:r w:rsidR="00D96D30">
              <w:rPr>
                <w:rFonts w:ascii="Times New Roman" w:eastAsia="宋体" w:hAnsi="Times New Roman" w:cs="Times New Roman" w:hint="eastAsia"/>
                <w:b/>
                <w:color w:val="000000" w:themeColor="text1"/>
                <w:sz w:val="24"/>
              </w:rPr>
              <w:instrText>\\1.</w:instrText>
            </w:r>
            <w:r w:rsidR="00D96D30">
              <w:rPr>
                <w:rFonts w:ascii="Times New Roman" w:eastAsia="宋体" w:hAnsi="Times New Roman" w:cs="Times New Roman" w:hint="eastAsia"/>
                <w:b/>
                <w:color w:val="000000" w:themeColor="text1"/>
                <w:sz w:val="24"/>
              </w:rPr>
              <w:instrText>课件</w:instrText>
            </w:r>
            <w:r w:rsidR="00D96D30">
              <w:rPr>
                <w:rFonts w:ascii="Times New Roman" w:eastAsia="宋体" w:hAnsi="Times New Roman" w:cs="Times New Roman" w:hint="eastAsia"/>
                <w:b/>
                <w:color w:val="000000" w:themeColor="text1"/>
                <w:sz w:val="24"/>
              </w:rPr>
              <w:instrText>\\</w:instrText>
            </w:r>
            <w:r w:rsidR="00D96D30">
              <w:rPr>
                <w:rFonts w:ascii="Times New Roman" w:eastAsia="宋体" w:hAnsi="Times New Roman" w:cs="Times New Roman" w:hint="eastAsia"/>
                <w:b/>
                <w:color w:val="000000" w:themeColor="text1"/>
                <w:sz w:val="24"/>
              </w:rPr>
              <w:instrText>高考题</w:instrText>
            </w:r>
            <w:r w:rsidR="00D96D30">
              <w:rPr>
                <w:rFonts w:ascii="Times New Roman" w:eastAsia="宋体" w:hAnsi="Times New Roman" w:cs="Times New Roman" w:hint="eastAsia"/>
                <w:b/>
                <w:color w:val="000000" w:themeColor="text1"/>
                <w:sz w:val="24"/>
              </w:rPr>
              <w:instrText>\\9.</w:instrText>
            </w:r>
            <w:r w:rsidR="00D96D30">
              <w:rPr>
                <w:rFonts w:ascii="Times New Roman" w:eastAsia="宋体" w:hAnsi="Times New Roman" w:cs="Times New Roman" w:hint="eastAsia"/>
                <w:b/>
                <w:color w:val="000000" w:themeColor="text1"/>
                <w:sz w:val="24"/>
              </w:rPr>
              <w:instrText>政治</w:instrText>
            </w:r>
            <w:r w:rsidR="00D96D30">
              <w:rPr>
                <w:rFonts w:ascii="Times New Roman" w:eastAsia="宋体" w:hAnsi="Times New Roman" w:cs="Times New Roman" w:hint="eastAsia"/>
                <w:b/>
                <w:color w:val="000000" w:themeColor="text1"/>
                <w:sz w:val="24"/>
              </w:rPr>
              <w:instrText>\\2025</w:instrText>
            </w:r>
            <w:r w:rsidR="00D96D30">
              <w:rPr>
                <w:rFonts w:ascii="Times New Roman" w:eastAsia="宋体" w:hAnsi="Times New Roman" w:cs="Times New Roman" w:hint="eastAsia"/>
                <w:b/>
                <w:color w:val="000000" w:themeColor="text1"/>
                <w:sz w:val="24"/>
              </w:rPr>
              <w:instrText>年</w:instrText>
            </w:r>
            <w:r w:rsidR="00D96D30">
              <w:rPr>
                <w:rFonts w:ascii="Times New Roman" w:eastAsia="宋体" w:hAnsi="Times New Roman" w:cs="Times New Roman" w:hint="eastAsia"/>
                <w:b/>
                <w:color w:val="000000" w:themeColor="text1"/>
                <w:sz w:val="24"/>
              </w:rPr>
              <w:instrText>\\25SDZZ6.TIF" \* MERGEFORMATINET</w:instrText>
            </w:r>
            <w:r w:rsidR="00D96D30">
              <w:rPr>
                <w:rFonts w:ascii="Times New Roman" w:eastAsia="宋体" w:hAnsi="Times New Roman" w:cs="Times New Roman"/>
                <w:b/>
                <w:color w:val="000000" w:themeColor="text1"/>
                <w:sz w:val="24"/>
              </w:rPr>
              <w:instrText xml:space="preserve"> </w:instrText>
            </w:r>
            <w:r w:rsidR="00D96D30">
              <w:rPr>
                <w:rFonts w:ascii="Times New Roman" w:eastAsia="宋体" w:hAnsi="Times New Roman" w:cs="Times New Roman"/>
                <w:b/>
                <w:color w:val="000000" w:themeColor="text1"/>
                <w:sz w:val="24"/>
              </w:rPr>
              <w:fldChar w:fldCharType="separate"/>
            </w:r>
            <w:r w:rsidR="004D33C0">
              <w:rPr>
                <w:rFonts w:ascii="Times New Roman" w:eastAsia="宋体" w:hAnsi="Times New Roman" w:cs="Times New Roman"/>
                <w:b/>
                <w:color w:val="000000" w:themeColor="text1"/>
                <w:sz w:val="24"/>
              </w:rPr>
              <w:pict>
                <v:shape id="_x0000_i1030" type="#_x0000_t75" style="width:105.85pt;height:89.75pt">
                  <v:imagedata r:id="rId16" r:href="rId17"/>
                </v:shape>
              </w:pict>
            </w:r>
            <w:r w:rsidR="00D96D30">
              <w:rPr>
                <w:rFonts w:ascii="Times New Roman" w:eastAsia="宋体" w:hAnsi="Times New Roman" w:cs="Times New Roman"/>
                <w:b/>
                <w:color w:val="000000" w:themeColor="text1"/>
                <w:sz w:val="24"/>
              </w:rPr>
              <w:fldChar w:fldCharType="end"/>
            </w:r>
            <w:r w:rsidR="006A5F69">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c>
      </w:tr>
    </w:tbl>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结合材料，运用文化传承与文化创新的知识，阐述新时代我们应如何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挺立中国式现代化的精神脊梁</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坚持用习近平新时代中国特色社会主义思想凝心铸魂；深入挖掘和阐发中华优秀传统文化的时代价值，对中华优秀传统文化进行创造性转化和创新性发展；传承和弘扬革命文化中蕴含的革命精神；发展中国特色社会主义先进文化，加强思想道德建设，提高全社会文明程度；坚持中国共产党的领导，弘扬以爱国主义为核心的民族精神。</w:t>
      </w:r>
    </w:p>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王某以十二生肖为蓝本，结合古汉字、文物等，创作并发表了十二生肖图腾美术作品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以下称图腾作品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。甲旅游文化公司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以下称甲</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是某传统文化景区经营者，与王某签订合同，约定甲有权在景区宣传册上使用图腾作品。甲将署名甲的图腾作品上传网络，并印制在宣传册上。</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为完善景区建设，甲与乙公司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以下称乙</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签订承揽合同，约定乙以甲提供的图腾作品为模板设计并铺设甬道，甲需分期向乙支付报酬共二十万元，同时对甲名下的一辆汽车设定抵押。乙以图腾作品为基础，创作了生肖年画新作品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以下称新作品</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，并以此完成甬道设计与施工。</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王某在宣</w:t>
      </w:r>
      <w:r w:rsidRPr="002A0AF6">
        <w:rPr>
          <w:rFonts w:ascii="Times New Roman" w:eastAsia="楷体" w:hAnsi="Times New Roman" w:cs="Times New Roman" w:hint="eastAsia"/>
          <w:b/>
          <w:color w:val="000000" w:themeColor="text1"/>
          <w:sz w:val="24"/>
        </w:rPr>
        <w:t>传册及网上发现图腾作品后，又发现刻在甬道上的新作品与图腾作品十分相似，遂向人民法院起诉甲。经审理，人民法院判决甲立即停止侵权并向王某支付版权使用费，但驳回王某销毁甬道的诉请。诉讼过程中，王某得知新作品属于乙，便向仲裁机构提交申请进行维权，但仲裁机构不予受理。</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甲拒不支付后期报酬，乙遂向人民法院起诉甲，并递交起诉状，人民法院已受理。</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运用《法律与生活》的知识，回答下列问题。</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甲乙分别侵害了王某的哪些著作权利？</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仲裁机构为何对王某的仲裁申请不予受理？</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依据承揽合同的约定，乙能在起诉</w:t>
      </w:r>
      <w:r w:rsidRPr="002A0AF6">
        <w:rPr>
          <w:rFonts w:ascii="Times New Roman" w:eastAsia="宋体" w:hAnsi="Times New Roman" w:cs="Times New Roman" w:hint="eastAsia"/>
          <w:b/>
          <w:color w:val="000000" w:themeColor="text1"/>
          <w:sz w:val="24"/>
        </w:rPr>
        <w:t>状中提出哪些诉讼请求？</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针对王某与甲的纠纷，人民法院的判决彰显了什么价值取向？</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将王某的图腾作品署名甲上传网络，侵害王某署名权；未经授权将王某作品上传网络，侵害王某信息网络传播权。未经过著作权人同意，他人不得以作品为基础进行改编，乙擅自以王某图腾作品为基础进行改编，创作生肖年画，侵害了王某的改编权。</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商事纠纷当事人申请仲裁，须以双方自愿订立的有效仲裁协议为前提。王某与乙之间没有达成有效仲裁协议，不符合仲裁申请条件，所以仲裁机构不予受理。</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甲构</w:t>
      </w:r>
      <w:r w:rsidRPr="002A0AF6">
        <w:rPr>
          <w:rFonts w:ascii="Times New Roman" w:eastAsia="宋体" w:hAnsi="Times New Roman" w:cs="Times New Roman" w:hint="eastAsia"/>
          <w:b/>
          <w:color w:val="000000" w:themeColor="text1"/>
          <w:sz w:val="24"/>
        </w:rPr>
        <w:t>成违约，根据合同约定，乙可以向人民法院请求甲继续履行，支付后期报酬以及赔偿损失。对于抵押汽车，可请求就该汽车折价或者以拍卖、变卖所得价款优先受偿。</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人民法院的判决维护了王某的著作权，彰显了对知识产权的保护，鼓励创新和创作的价值导向，维护了文化市场的健康秩序。人民法院的判决驳回了王某销毁甬道的诉求，说明在保护权利人合法权益的同时，彰显了坚持绿色原则，兼顾公平与效益，避免资源浪费的价值导向。</w:t>
      </w:r>
    </w:p>
    <w:p w:rsidR="0075731D" w:rsidRPr="002A0AF6" w:rsidRDefault="0075731D" w:rsidP="004D33C0">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黑体" w:hAnsi="Times New Roman" w:cs="Times New Roman"/>
          <w:b/>
          <w:color w:val="000000" w:themeColor="text1"/>
          <w:sz w:val="24"/>
        </w:rPr>
        <w:t>凝聚改革合力</w:t>
      </w:r>
      <w:r w:rsidRPr="002A0AF6">
        <w:rPr>
          <w:rFonts w:ascii="Times New Roman" w:eastAsia="黑体" w:hAnsi="Times New Roman" w:cs="Times New Roman"/>
          <w:b/>
          <w:color w:val="000000" w:themeColor="text1"/>
          <w:sz w:val="24"/>
        </w:rPr>
        <w:t xml:space="preserve"> </w:t>
      </w:r>
      <w:r w:rsidRPr="002A0AF6">
        <w:rPr>
          <w:rFonts w:ascii="Times New Roman" w:eastAsia="黑体" w:hAnsi="Times New Roman" w:cs="Times New Roman"/>
          <w:b/>
          <w:color w:val="000000" w:themeColor="text1"/>
          <w:sz w:val="24"/>
        </w:rPr>
        <w:t>谱写壮丽篇章</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宋体" w:eastAsia="楷体" w:hAnsi="宋体" w:cs="Times New Roman"/>
          <w:b/>
          <w:color w:val="000000" w:themeColor="text1"/>
          <w:sz w:val="24"/>
        </w:rPr>
        <w:t>◆</w:t>
      </w:r>
      <w:r w:rsidRPr="002A0AF6">
        <w:rPr>
          <w:rFonts w:ascii="Times New Roman" w:eastAsia="黑体" w:hAnsi="Times New Roman" w:cs="Times New Roman"/>
          <w:b/>
          <w:color w:val="000000" w:themeColor="text1"/>
          <w:sz w:val="24"/>
        </w:rPr>
        <w:t>事必有法，然</w:t>
      </w:r>
      <w:r w:rsidRPr="002A0AF6">
        <w:rPr>
          <w:rFonts w:ascii="Times New Roman" w:eastAsia="黑体" w:hAnsi="Times New Roman" w:cs="Times New Roman" w:hint="eastAsia"/>
          <w:b/>
          <w:color w:val="000000" w:themeColor="text1"/>
          <w:sz w:val="24"/>
        </w:rPr>
        <w:t>后可成</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在谈及抓改革落实时，习近平总书记强调，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既要积极主动，更要扎实稳健，明确优先序，把握时度效，尽力而为、量力而行，不能脱离实际</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推出改革措施往往有着宝贵时间窗口，错过了时机就难以达到预期目的。对于一项改革，人民群众的呼声已经很高，各方面条件也比较成熟，就要尽快推出；各方面认识还不一致、条件不太具备的，可以循序渐进推动。落实改革措施要掌握</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火候</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，力度太小难以真正解决问题，力度过大又有可能引发其他负面效应。</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新时代全面深化改革关键在于抓部署、抓落实，取得实绩实效。如，在国有企业改</w:t>
      </w:r>
      <w:r w:rsidRPr="002A0AF6">
        <w:rPr>
          <w:rFonts w:ascii="Times New Roman" w:eastAsia="楷体" w:hAnsi="Times New Roman" w:cs="Times New Roman" w:hint="eastAsia"/>
          <w:b/>
          <w:color w:val="000000" w:themeColor="text1"/>
          <w:sz w:val="24"/>
        </w:rPr>
        <w:t>革方面，中央出台了一系列政策方案，国有企业改革力度不断加大，国有资产大幅增值。</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抓改革落实，要把握时度效。结合材料，运用量变质变规律相关知识对此加以说明。</w:t>
      </w: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宋体" w:eastAsia="黑体" w:hAnsi="宋体" w:cs="Times New Roman"/>
          <w:b/>
          <w:color w:val="000000" w:themeColor="text1"/>
          <w:sz w:val="24"/>
        </w:rPr>
        <w:t>◆</w:t>
      </w:r>
      <w:r w:rsidRPr="002A0AF6">
        <w:rPr>
          <w:rFonts w:ascii="Times New Roman" w:eastAsia="黑体" w:hAnsi="Times New Roman" w:cs="Times New Roman"/>
          <w:b/>
          <w:color w:val="000000" w:themeColor="text1"/>
          <w:sz w:val="24"/>
        </w:rPr>
        <w:t>大道如砥，壮阔无垠</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从历史深处走来，由迷茫到觉悟、由封闭到开放、由倡导到引领，中华民族不断摆脱束缚、冲破桎梏，创新创造的活力充分迸发。在中国共产党的领导下，中国人民把一个个</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不可能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变成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一定能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，书写着中华民族几千年来最恢宏的史诗，并携手世界各国人民一路前行，开创人类共同的未来。</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结合材料，运用《中国特色社会主义》《当代国际政治与经济》的知识，以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伟大觉醒孕育伟大创造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为主题撰写一篇短评。</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要求：</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围绕主题，观点明确；</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论证充分，逻辑清晰；</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学科术语使用规范；</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总字数在</w:t>
      </w:r>
      <w:r w:rsidRPr="002A0AF6">
        <w:rPr>
          <w:rFonts w:ascii="Times New Roman" w:eastAsia="宋体" w:hAnsi="Times New Roman" w:cs="Times New Roman"/>
          <w:b/>
          <w:color w:val="000000" w:themeColor="text1"/>
          <w:sz w:val="24"/>
        </w:rPr>
        <w:t>250</w:t>
      </w:r>
      <w:r w:rsidRPr="002A0AF6">
        <w:rPr>
          <w:rFonts w:ascii="Times New Roman" w:eastAsia="宋体" w:hAnsi="Times New Roman" w:cs="Times New Roman"/>
          <w:b/>
          <w:color w:val="000000" w:themeColor="text1"/>
          <w:sz w:val="24"/>
        </w:rPr>
        <w:t>字左右。</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量变是质变的必要准备，量变达到一定程度必然引起质变，质变是量变的必然结果，体现并保存量变的成果，并为新的量变开辟道路。质量互变规律要求我们以统一性的观念正确把握事物发展过程中的量变与质变的关系，重视量的积累，坚持适度原则，又要不失时机促成质</w:t>
      </w:r>
      <w:r w:rsidRPr="002A0AF6">
        <w:rPr>
          <w:rFonts w:ascii="Times New Roman" w:eastAsia="宋体" w:hAnsi="Times New Roman" w:cs="Times New Roman" w:hint="eastAsia"/>
          <w:b/>
          <w:color w:val="000000" w:themeColor="text1"/>
          <w:sz w:val="24"/>
        </w:rPr>
        <w:t>的飞跃。</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抓改革落实把握时度效，体现了质量互变规律的要求。</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时</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即时间、时机，强调量变的积累，抓住有利时机。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度</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即适度，强调坚持适度原则。</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效</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即成效，强调实绩实效检验，促成质的飞跃。要重视度，程度得当，防止过犹不及，量力而行；要重视效，尽力而为，取得实绩实效，发展到最佳状态。</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要由量变到质变，又在新质的基础上开始新的量变，如此循环往复，不断前进。要善于把时度效统一起来，在抓好改革落实中推动改革，不断取得新突破，见到新成效。</w:t>
      </w:r>
    </w:p>
    <w:p w:rsidR="0075731D" w:rsidRPr="002A0AF6" w:rsidRDefault="0075731D" w:rsidP="004D33C0">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示例：伟大觉醒孕育伟大创造</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改革开放是我们党的一次伟大觉醒，正是这个伟大</w:t>
      </w:r>
      <w:r w:rsidRPr="002A0AF6">
        <w:rPr>
          <w:rFonts w:ascii="Times New Roman" w:eastAsia="宋体" w:hAnsi="Times New Roman" w:cs="Times New Roman" w:hint="eastAsia"/>
          <w:b/>
          <w:color w:val="000000" w:themeColor="text1"/>
          <w:sz w:val="24"/>
        </w:rPr>
        <w:t>觉醒孕育了我们党从理论到实践的伟大创造。</w:t>
      </w:r>
    </w:p>
    <w:p w:rsidR="0075731D" w:rsidRPr="002A0AF6" w:rsidRDefault="0075731D" w:rsidP="004D33C0">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改革开放以来，党带领全国人民开辟了中国特色社会主义道路，形成了中国特色社会主义理论体系，确立了中国特色社会主义制度，发展了中国特色社会主义文化。立足百年变局，顺应人类发展进步潮流，以习近平同志为核心的党中央以深邃的历史眼光、宽广的全球视野、强烈的使命担当创造性提出并践行构建人类命运共同体理念和</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三大全球倡议</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，为推动全球治理体系改革、促进世界和平与发展、推动人类文明进步贡献中国智慧和力量。</w:t>
      </w:r>
    </w:p>
    <w:sectPr w:rsidR="0075731D" w:rsidRPr="002A0AF6" w:rsidSect="002A0AF6">
      <w:footerReference w:type="default" r:id="rId1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D30" w:rsidRDefault="00D96D30" w:rsidP="00454A9A">
      <w:r>
        <w:separator/>
      </w:r>
    </w:p>
  </w:endnote>
  <w:endnote w:type="continuationSeparator" w:id="0">
    <w:p w:rsidR="00D96D30" w:rsidRDefault="00D96D30"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D96D30">
      <w:rPr>
        <w:noProof/>
      </w:rPr>
      <w:t>1</w:t>
    </w:r>
    <w:r>
      <w:fldChar w:fldCharType="end"/>
    </w:r>
    <w:r>
      <w:t>/</w:t>
    </w:r>
    <w:fldSimple w:instr=" NUMPAGES  \* MERGEFORMAT ">
      <w:r w:rsidR="00D96D30">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D30" w:rsidRDefault="00D96D30" w:rsidP="00454A9A">
      <w:r>
        <w:separator/>
      </w:r>
    </w:p>
  </w:footnote>
  <w:footnote w:type="continuationSeparator" w:id="0">
    <w:p w:rsidR="00D96D30" w:rsidRDefault="00D96D30"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327FAD"/>
    <w:rsid w:val="00374759"/>
    <w:rsid w:val="004379E2"/>
    <w:rsid w:val="00454A9A"/>
    <w:rsid w:val="004C34B4"/>
    <w:rsid w:val="004D33C0"/>
    <w:rsid w:val="004F09B8"/>
    <w:rsid w:val="006773A2"/>
    <w:rsid w:val="00684E81"/>
    <w:rsid w:val="006A5F69"/>
    <w:rsid w:val="0075731D"/>
    <w:rsid w:val="007C1D7F"/>
    <w:rsid w:val="008A5DF3"/>
    <w:rsid w:val="0092543A"/>
    <w:rsid w:val="00991598"/>
    <w:rsid w:val="00A56400"/>
    <w:rsid w:val="00A73771"/>
    <w:rsid w:val="00AA0D76"/>
    <w:rsid w:val="00C1318E"/>
    <w:rsid w:val="00C206CC"/>
    <w:rsid w:val="00C77B38"/>
    <w:rsid w:val="00D14114"/>
    <w:rsid w:val="00D150D4"/>
    <w:rsid w:val="00D72132"/>
    <w:rsid w:val="00D920B8"/>
    <w:rsid w:val="00D96D30"/>
    <w:rsid w:val="00DC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SDZZ4.TIF"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SDZZ1.TIF" TargetMode="External"/><Relationship Id="rId12" Type="http://schemas.openxmlformats.org/officeDocument/2006/relationships/image" Target="media/image4.png"/><Relationship Id="rId17" Type="http://schemas.openxmlformats.org/officeDocument/2006/relationships/image" Target="25SDZZ6.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SDZZ3.TIF" TargetMode="External"/><Relationship Id="rId5" Type="http://schemas.openxmlformats.org/officeDocument/2006/relationships/endnotes" Target="endnotes.xml"/><Relationship Id="rId15" Type="http://schemas.openxmlformats.org/officeDocument/2006/relationships/image" Target="25SDZZ5.TI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5SDZZ2.TIF"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2221</Words>
  <Characters>12666</Characters>
  <Application>Microsoft Office Word</Application>
  <DocSecurity>0</DocSecurity>
  <Lines>105</Lines>
  <Paragraphs>29</Paragraphs>
  <ScaleCrop>false</ScaleCrop>
  <Company>Microsoft</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